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2925"/>
        <w:tblW w:w="5000" w:type="pct"/>
        <w:tblCellSpacing w:w="0"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2453"/>
        <w:gridCol w:w="7361"/>
      </w:tblGrid>
      <w:tr w:rsidR="004467C6" w:rsidRPr="00240FC6" w14:paraId="6F05493A" w14:textId="77777777" w:rsidTr="0074147F">
        <w:trPr>
          <w:tblCellSpacing w:w="0" w:type="dxa"/>
        </w:trPr>
        <w:tc>
          <w:tcPr>
            <w:tcW w:w="1250" w:type="pct"/>
            <w:vMerge w:val="restart"/>
            <w:tcBorders>
              <w:top w:val="outset" w:sz="6" w:space="0" w:color="auto"/>
              <w:left w:val="outset" w:sz="6" w:space="0" w:color="auto"/>
              <w:bottom w:val="outset" w:sz="6" w:space="0" w:color="auto"/>
              <w:right w:val="outset" w:sz="6" w:space="0" w:color="auto"/>
            </w:tcBorders>
            <w:vAlign w:val="center"/>
            <w:hideMark/>
          </w:tcPr>
          <w:p w14:paraId="5FA36970" w14:textId="77777777" w:rsidR="004467C6" w:rsidRPr="00240FC6" w:rsidRDefault="004467C6" w:rsidP="004467C6">
            <w:pPr>
              <w:jc w:val="center"/>
              <w:rPr>
                <w:rFonts w:ascii="Arial" w:hAnsi="Arial" w:cs="Arial"/>
                <w:sz w:val="20"/>
                <w:szCs w:val="20"/>
                <w:lang w:val="es-CO" w:eastAsia="es-CO"/>
              </w:rPr>
            </w:pPr>
            <w:r w:rsidRPr="00240FC6">
              <w:rPr>
                <w:rFonts w:ascii="Arial" w:hAnsi="Arial" w:cs="Arial"/>
                <w:sz w:val="20"/>
                <w:szCs w:val="20"/>
              </w:rPr>
              <w:fldChar w:fldCharType="begin"/>
            </w:r>
            <w:r w:rsidRPr="00240FC6">
              <w:rPr>
                <w:rFonts w:ascii="Arial" w:hAnsi="Arial" w:cs="Arial"/>
                <w:sz w:val="20"/>
                <w:szCs w:val="20"/>
              </w:rPr>
              <w:instrText xml:space="preserve"> INCLUDEPICTURE "https://alcaldiademanizales.isolucion.co/Medios4AlcManizales/imagen%20definitiva0.png" \* MERGEFORMATINET </w:instrText>
            </w:r>
            <w:r w:rsidRPr="00240FC6">
              <w:rPr>
                <w:rFonts w:ascii="Arial" w:hAnsi="Arial" w:cs="Arial"/>
                <w:sz w:val="20"/>
                <w:szCs w:val="20"/>
              </w:rPr>
              <w:fldChar w:fldCharType="separate"/>
            </w:r>
            <w:r w:rsidRPr="00240FC6">
              <w:rPr>
                <w:rFonts w:ascii="Arial" w:hAnsi="Arial" w:cs="Arial"/>
                <w:sz w:val="20"/>
                <w:szCs w:val="20"/>
              </w:rPr>
              <w:fldChar w:fldCharType="begin"/>
            </w:r>
            <w:r w:rsidRPr="00240FC6">
              <w:rPr>
                <w:rFonts w:ascii="Arial" w:hAnsi="Arial" w:cs="Arial"/>
                <w:sz w:val="20"/>
                <w:szCs w:val="20"/>
              </w:rPr>
              <w:instrText xml:space="preserve"> INCLUDEPICTURE  "https://alcaldiademanizales.isolucion.co/Medios4AlcManizales/imagen definitiva0.png" \* MERGEFORMATINET </w:instrText>
            </w:r>
            <w:r w:rsidRPr="00240FC6">
              <w:rPr>
                <w:rFonts w:ascii="Arial" w:hAnsi="Arial" w:cs="Arial"/>
                <w:sz w:val="20"/>
                <w:szCs w:val="20"/>
              </w:rPr>
              <w:fldChar w:fldCharType="separate"/>
            </w:r>
            <w:r w:rsidRPr="00240FC6">
              <w:rPr>
                <w:rFonts w:ascii="Arial" w:hAnsi="Arial" w:cs="Arial"/>
                <w:sz w:val="20"/>
                <w:szCs w:val="20"/>
              </w:rPr>
              <w:fldChar w:fldCharType="begin"/>
            </w:r>
            <w:r w:rsidRPr="00240FC6">
              <w:rPr>
                <w:rFonts w:ascii="Arial" w:hAnsi="Arial" w:cs="Arial"/>
                <w:sz w:val="20"/>
                <w:szCs w:val="20"/>
              </w:rPr>
              <w:instrText xml:space="preserve"> INCLUDEPICTURE  "https://alcaldiademanizales.isolucion.co/Medios4AlcManizales/imagen definitiva0.png" \* MERGEFORMATINET </w:instrText>
            </w:r>
            <w:r w:rsidRPr="00240FC6">
              <w:rPr>
                <w:rFonts w:ascii="Arial" w:hAnsi="Arial" w:cs="Arial"/>
                <w:sz w:val="20"/>
                <w:szCs w:val="20"/>
              </w:rPr>
              <w:fldChar w:fldCharType="separate"/>
            </w:r>
            <w:r w:rsidRPr="00240FC6">
              <w:rPr>
                <w:rFonts w:ascii="Arial" w:hAnsi="Arial" w:cs="Arial"/>
                <w:sz w:val="20"/>
                <w:szCs w:val="20"/>
              </w:rPr>
              <w:fldChar w:fldCharType="begin"/>
            </w:r>
            <w:r w:rsidRPr="00240FC6">
              <w:rPr>
                <w:rFonts w:ascii="Arial" w:hAnsi="Arial" w:cs="Arial"/>
                <w:sz w:val="20"/>
                <w:szCs w:val="20"/>
              </w:rPr>
              <w:instrText xml:space="preserve"> INCLUDEPICTURE  "https://alcaldiademanizales.isolucion.co/Medios4AlcManizales/imagen definitiva0.png" \* MERGEFORMATINET </w:instrText>
            </w:r>
            <w:r w:rsidRPr="00240FC6">
              <w:rPr>
                <w:rFonts w:ascii="Arial" w:hAnsi="Arial" w:cs="Arial"/>
                <w:sz w:val="20"/>
                <w:szCs w:val="20"/>
              </w:rPr>
              <w:fldChar w:fldCharType="separate"/>
            </w:r>
            <w:r w:rsidR="00565F1D" w:rsidRPr="00240FC6">
              <w:rPr>
                <w:rFonts w:ascii="Arial" w:hAnsi="Arial" w:cs="Arial"/>
                <w:sz w:val="20"/>
                <w:szCs w:val="20"/>
              </w:rPr>
              <w:fldChar w:fldCharType="begin"/>
            </w:r>
            <w:r w:rsidR="00565F1D" w:rsidRPr="00240FC6">
              <w:rPr>
                <w:rFonts w:ascii="Arial" w:hAnsi="Arial" w:cs="Arial"/>
                <w:sz w:val="20"/>
                <w:szCs w:val="20"/>
              </w:rPr>
              <w:instrText xml:space="preserve"> INCLUDEPICTURE  "https://alcaldiademanizales.isolucion.co/Medios4AlcManizales/imagen definitiva0.png" \* MERGEFORMATINET </w:instrText>
            </w:r>
            <w:r w:rsidR="00565F1D" w:rsidRPr="00240FC6">
              <w:rPr>
                <w:rFonts w:ascii="Arial" w:hAnsi="Arial" w:cs="Arial"/>
                <w:sz w:val="20"/>
                <w:szCs w:val="20"/>
              </w:rPr>
              <w:fldChar w:fldCharType="separate"/>
            </w:r>
            <w:r w:rsidR="00646C80" w:rsidRPr="00240FC6">
              <w:rPr>
                <w:rFonts w:ascii="Arial" w:hAnsi="Arial" w:cs="Arial"/>
                <w:sz w:val="20"/>
                <w:szCs w:val="20"/>
              </w:rPr>
              <w:fldChar w:fldCharType="begin"/>
            </w:r>
            <w:r w:rsidR="00646C80" w:rsidRPr="00240FC6">
              <w:rPr>
                <w:rFonts w:ascii="Arial" w:hAnsi="Arial" w:cs="Arial"/>
                <w:sz w:val="20"/>
                <w:szCs w:val="20"/>
              </w:rPr>
              <w:instrText xml:space="preserve"> INCLUDEPICTURE  "https://alcaldiademanizales.isolucion.co/Medios4AlcManizales/imagen definitiva0.png" \* MERGEFORMATINET </w:instrText>
            </w:r>
            <w:r w:rsidR="00646C80" w:rsidRPr="00240FC6">
              <w:rPr>
                <w:rFonts w:ascii="Arial" w:hAnsi="Arial" w:cs="Arial"/>
                <w:sz w:val="20"/>
                <w:szCs w:val="20"/>
              </w:rPr>
              <w:fldChar w:fldCharType="separate"/>
            </w:r>
            <w:r w:rsidR="007D3986" w:rsidRPr="00240FC6">
              <w:rPr>
                <w:rFonts w:ascii="Arial" w:hAnsi="Arial" w:cs="Arial"/>
                <w:sz w:val="20"/>
                <w:szCs w:val="20"/>
              </w:rPr>
              <w:fldChar w:fldCharType="begin"/>
            </w:r>
            <w:r w:rsidR="007D3986" w:rsidRPr="00240FC6">
              <w:rPr>
                <w:rFonts w:ascii="Arial" w:hAnsi="Arial" w:cs="Arial"/>
                <w:sz w:val="20"/>
                <w:szCs w:val="20"/>
              </w:rPr>
              <w:instrText xml:space="preserve"> INCLUDEPICTURE  "https://alcaldiademanizales.isolucion.co/Medios4AlcManizales/imagen definitiva0.png" \* MERGEFORMATINET </w:instrText>
            </w:r>
            <w:r w:rsidR="007D3986" w:rsidRPr="00240FC6">
              <w:rPr>
                <w:rFonts w:ascii="Arial" w:hAnsi="Arial" w:cs="Arial"/>
                <w:sz w:val="20"/>
                <w:szCs w:val="20"/>
              </w:rPr>
              <w:fldChar w:fldCharType="separate"/>
            </w:r>
            <w:r w:rsidRPr="00240FC6">
              <w:rPr>
                <w:rFonts w:ascii="Arial" w:hAnsi="Arial" w:cs="Arial"/>
                <w:sz w:val="20"/>
                <w:szCs w:val="20"/>
              </w:rPr>
              <w:fldChar w:fldCharType="begin"/>
            </w:r>
            <w:r w:rsidRPr="00240FC6">
              <w:rPr>
                <w:rFonts w:ascii="Arial" w:hAnsi="Arial" w:cs="Arial"/>
                <w:sz w:val="20"/>
                <w:szCs w:val="20"/>
              </w:rPr>
              <w:instrText xml:space="preserve"> INCLUDEPICTURE  "https://alcaldiademanizales.isolucion.co/Medios4AlcManizales/imagen definitiva0.png" \* MERGEFORMATINET </w:instrText>
            </w:r>
            <w:r w:rsidRPr="00240FC6">
              <w:rPr>
                <w:rFonts w:ascii="Arial" w:hAnsi="Arial" w:cs="Arial"/>
                <w:sz w:val="20"/>
                <w:szCs w:val="20"/>
              </w:rPr>
              <w:fldChar w:fldCharType="separate"/>
            </w:r>
            <w:r w:rsidRPr="00240FC6">
              <w:rPr>
                <w:rFonts w:ascii="Arial" w:hAnsi="Arial" w:cs="Arial"/>
                <w:sz w:val="20"/>
                <w:szCs w:val="20"/>
              </w:rPr>
              <w:fldChar w:fldCharType="begin"/>
            </w:r>
            <w:r w:rsidRPr="00240FC6">
              <w:rPr>
                <w:rFonts w:ascii="Arial" w:hAnsi="Arial" w:cs="Arial"/>
                <w:sz w:val="20"/>
                <w:szCs w:val="20"/>
              </w:rPr>
              <w:instrText xml:space="preserve"> INCLUDEPICTURE  "https://alcaldiademanizales.isolucion.co/Medios4AlcManizales/imagen definitiva0.png" \* MERGEFORMATINET </w:instrText>
            </w:r>
            <w:r w:rsidRPr="00240FC6">
              <w:rPr>
                <w:rFonts w:ascii="Arial" w:hAnsi="Arial" w:cs="Arial"/>
                <w:sz w:val="20"/>
                <w:szCs w:val="20"/>
              </w:rPr>
              <w:fldChar w:fldCharType="separate"/>
            </w:r>
            <w:r w:rsidR="00AA6AA4" w:rsidRPr="00240FC6">
              <w:rPr>
                <w:rFonts w:ascii="Arial" w:hAnsi="Arial" w:cs="Arial"/>
                <w:sz w:val="20"/>
                <w:szCs w:val="20"/>
              </w:rPr>
              <w:fldChar w:fldCharType="begin"/>
            </w:r>
            <w:r w:rsidR="00AA6AA4" w:rsidRPr="00240FC6">
              <w:rPr>
                <w:rFonts w:ascii="Arial" w:hAnsi="Arial" w:cs="Arial"/>
                <w:sz w:val="20"/>
                <w:szCs w:val="20"/>
              </w:rPr>
              <w:instrText xml:space="preserve"> INCLUDEPICTURE  "https://alcaldiademanizales.isolucion.co/Medios4AlcManizales/imagen definitiva0.png" \* MERGEFORMATINET </w:instrText>
            </w:r>
            <w:r w:rsidR="00AA6AA4" w:rsidRPr="00240FC6">
              <w:rPr>
                <w:rFonts w:ascii="Arial" w:hAnsi="Arial" w:cs="Arial"/>
                <w:sz w:val="20"/>
                <w:szCs w:val="20"/>
              </w:rPr>
              <w:fldChar w:fldCharType="separate"/>
            </w:r>
            <w:r w:rsidR="0091013C" w:rsidRPr="00240FC6">
              <w:rPr>
                <w:rFonts w:ascii="Arial" w:hAnsi="Arial" w:cs="Arial"/>
                <w:sz w:val="20"/>
                <w:szCs w:val="20"/>
              </w:rPr>
              <w:fldChar w:fldCharType="begin"/>
            </w:r>
            <w:r w:rsidR="0091013C" w:rsidRPr="00240FC6">
              <w:rPr>
                <w:rFonts w:ascii="Arial" w:hAnsi="Arial" w:cs="Arial"/>
                <w:sz w:val="20"/>
                <w:szCs w:val="20"/>
              </w:rPr>
              <w:instrText xml:space="preserve"> INCLUDEPICTURE  "https://alcaldiademanizales.isolucion.co/Medios4AlcManizales/imagen definitiva0.png" \* MERGEFORMATINET </w:instrText>
            </w:r>
            <w:r w:rsidR="0091013C" w:rsidRPr="00240FC6">
              <w:rPr>
                <w:rFonts w:ascii="Arial" w:hAnsi="Arial" w:cs="Arial"/>
                <w:sz w:val="20"/>
                <w:szCs w:val="20"/>
              </w:rPr>
              <w:fldChar w:fldCharType="separate"/>
            </w:r>
            <w:r w:rsidR="00B85191">
              <w:rPr>
                <w:rFonts w:ascii="Arial" w:hAnsi="Arial" w:cs="Arial"/>
                <w:sz w:val="20"/>
                <w:szCs w:val="20"/>
              </w:rPr>
              <w:fldChar w:fldCharType="begin"/>
            </w:r>
            <w:r w:rsidR="00B85191">
              <w:rPr>
                <w:rFonts w:ascii="Arial" w:hAnsi="Arial" w:cs="Arial"/>
                <w:sz w:val="20"/>
                <w:szCs w:val="20"/>
              </w:rPr>
              <w:instrText xml:space="preserve"> INCLUDEPICTURE  "https://alcaldiademanizales.isolucion.co/Medios4AlcManizales/imagen definitiva0.png" \* MERGEFORMATINET </w:instrText>
            </w:r>
            <w:r w:rsidR="00B85191">
              <w:rPr>
                <w:rFonts w:ascii="Arial" w:hAnsi="Arial" w:cs="Arial"/>
                <w:sz w:val="20"/>
                <w:szCs w:val="20"/>
              </w:rPr>
              <w:fldChar w:fldCharType="separate"/>
            </w:r>
            <w:r w:rsidR="00987350">
              <w:rPr>
                <w:rFonts w:ascii="Arial" w:hAnsi="Arial" w:cs="Arial"/>
                <w:sz w:val="20"/>
                <w:szCs w:val="20"/>
              </w:rPr>
              <w:fldChar w:fldCharType="begin"/>
            </w:r>
            <w:r w:rsidR="00987350">
              <w:rPr>
                <w:rFonts w:ascii="Arial" w:hAnsi="Arial" w:cs="Arial"/>
                <w:sz w:val="20"/>
                <w:szCs w:val="20"/>
              </w:rPr>
              <w:instrText xml:space="preserve"> INCLUDEPICTURE  "https://alcaldiademanizales.isolucion.co/Medios4AlcManizales/imagen definitiva0.png" \* MERGEFORMATINET </w:instrText>
            </w:r>
            <w:r w:rsidR="00987350">
              <w:rPr>
                <w:rFonts w:ascii="Arial" w:hAnsi="Arial" w:cs="Arial"/>
                <w:sz w:val="20"/>
                <w:szCs w:val="20"/>
              </w:rPr>
              <w:fldChar w:fldCharType="separate"/>
            </w:r>
            <w:r w:rsidR="00276151">
              <w:rPr>
                <w:rFonts w:ascii="Arial" w:hAnsi="Arial" w:cs="Arial"/>
                <w:sz w:val="20"/>
                <w:szCs w:val="20"/>
              </w:rPr>
              <w:fldChar w:fldCharType="begin"/>
            </w:r>
            <w:r w:rsidR="00276151">
              <w:rPr>
                <w:rFonts w:ascii="Arial" w:hAnsi="Arial" w:cs="Arial"/>
                <w:sz w:val="20"/>
                <w:szCs w:val="20"/>
              </w:rPr>
              <w:instrText xml:space="preserve"> INCLUDEPICTURE  "https://alcaldiademanizales.isolucion.co/Medios4AlcManizales/imagen definitiva0.png" \* MERGEFORMATINET </w:instrText>
            </w:r>
            <w:r w:rsidR="00276151">
              <w:rPr>
                <w:rFonts w:ascii="Arial" w:hAnsi="Arial" w:cs="Arial"/>
                <w:sz w:val="20"/>
                <w:szCs w:val="20"/>
              </w:rPr>
              <w:fldChar w:fldCharType="separate"/>
            </w:r>
            <w:r w:rsidR="00413A79">
              <w:rPr>
                <w:rFonts w:ascii="Arial" w:hAnsi="Arial" w:cs="Arial"/>
                <w:sz w:val="20"/>
                <w:szCs w:val="20"/>
              </w:rPr>
              <w:fldChar w:fldCharType="begin"/>
            </w:r>
            <w:r w:rsidR="00413A79">
              <w:rPr>
                <w:rFonts w:ascii="Arial" w:hAnsi="Arial" w:cs="Arial"/>
                <w:sz w:val="20"/>
                <w:szCs w:val="20"/>
              </w:rPr>
              <w:instrText xml:space="preserve"> INCLUDEPICTURE  "https://alcaldiademanizales.isolucion.co/Medios4AlcManizales/imagen definitiva0.png" \* MERGEFORMATINET </w:instrText>
            </w:r>
            <w:r w:rsidR="00413A79">
              <w:rPr>
                <w:rFonts w:ascii="Arial" w:hAnsi="Arial" w:cs="Arial"/>
                <w:sz w:val="20"/>
                <w:szCs w:val="20"/>
              </w:rPr>
              <w:fldChar w:fldCharType="separate"/>
            </w:r>
            <w:r w:rsidR="0019154C">
              <w:rPr>
                <w:rFonts w:ascii="Arial" w:hAnsi="Arial" w:cs="Arial"/>
                <w:sz w:val="20"/>
                <w:szCs w:val="20"/>
              </w:rPr>
              <w:fldChar w:fldCharType="begin"/>
            </w:r>
            <w:r w:rsidR="0019154C">
              <w:rPr>
                <w:rFonts w:ascii="Arial" w:hAnsi="Arial" w:cs="Arial"/>
                <w:sz w:val="20"/>
                <w:szCs w:val="20"/>
              </w:rPr>
              <w:instrText xml:space="preserve"> INCLUDEPICTURE  "https://alcaldiademanizales.isolucion.co/Medios4AlcManizales/imagen definitiva0.png" \* MERGEFORMATINET </w:instrText>
            </w:r>
            <w:r w:rsidR="0019154C">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"https://alcaldiademanizales.isolucion.co/Medios4AlcManizales/imagen definitiva0.png" \* MERGEFORMATINET </w:instrText>
            </w:r>
            <w:r>
              <w:rPr>
                <w:rFonts w:ascii="Arial" w:hAnsi="Arial" w:cs="Arial"/>
                <w:sz w:val="20"/>
                <w:szCs w:val="20"/>
              </w:rPr>
              <w:fldChar w:fldCharType="separate"/>
            </w:r>
            <w:r w:rsidR="00692780">
              <w:rPr>
                <w:rFonts w:ascii="Arial" w:hAnsi="Arial" w:cs="Arial"/>
                <w:sz w:val="20"/>
                <w:szCs w:val="20"/>
              </w:rPr>
              <w:fldChar w:fldCharType="begin"/>
            </w:r>
            <w:r w:rsidR="00692780">
              <w:rPr>
                <w:rFonts w:ascii="Arial" w:hAnsi="Arial" w:cs="Arial"/>
                <w:sz w:val="20"/>
                <w:szCs w:val="20"/>
              </w:rPr>
              <w:instrText xml:space="preserve"> INCLUDEPICTURE  "https://alcaldiademanizales.isolucion.co/Medios4AlcManizales/imagen definitiva0.png" \* MERGEFORMATINET </w:instrText>
            </w:r>
            <w:r w:rsidR="00692780">
              <w:rPr>
                <w:rFonts w:ascii="Arial" w:hAnsi="Arial" w:cs="Arial"/>
                <w:sz w:val="20"/>
                <w:szCs w:val="20"/>
              </w:rPr>
              <w:fldChar w:fldCharType="separate"/>
            </w:r>
            <w:r w:rsidR="002C5851">
              <w:rPr>
                <w:rFonts w:ascii="Arial" w:hAnsi="Arial" w:cs="Arial"/>
                <w:sz w:val="20"/>
                <w:szCs w:val="20"/>
              </w:rPr>
              <w:fldChar w:fldCharType="begin"/>
            </w:r>
            <w:r w:rsidR="002C5851">
              <w:rPr>
                <w:rFonts w:ascii="Arial" w:hAnsi="Arial" w:cs="Arial"/>
                <w:sz w:val="20"/>
                <w:szCs w:val="20"/>
              </w:rPr>
              <w:instrText xml:space="preserve"> INCLUDEPICTURE  "https://alcaldiademanizales.isolucion.co/Medios4AlcManizales/imagen definitiva0.png" \* MERGEFORMATINET </w:instrText>
            </w:r>
            <w:r w:rsidR="002C5851">
              <w:rPr>
                <w:rFonts w:ascii="Arial" w:hAnsi="Arial" w:cs="Arial"/>
                <w:sz w:val="20"/>
                <w:szCs w:val="20"/>
              </w:rPr>
              <w:fldChar w:fldCharType="separate"/>
            </w:r>
            <w:r w:rsidR="00407CCB">
              <w:rPr>
                <w:rFonts w:ascii="Arial" w:hAnsi="Arial" w:cs="Arial"/>
                <w:sz w:val="20"/>
                <w:szCs w:val="20"/>
              </w:rPr>
              <w:fldChar w:fldCharType="begin"/>
            </w:r>
            <w:r w:rsidR="00407CCB">
              <w:rPr>
                <w:rFonts w:ascii="Arial" w:hAnsi="Arial" w:cs="Arial"/>
                <w:sz w:val="20"/>
                <w:szCs w:val="20"/>
              </w:rPr>
              <w:instrText xml:space="preserve"> INCLUDEPICTURE  "https://alcaldiademanizales.isolucion.co/Medios4AlcManizales/imagen definitiva0.png" \* MERGEFORMATINET </w:instrText>
            </w:r>
            <w:r w:rsidR="00407CCB">
              <w:rPr>
                <w:rFonts w:ascii="Arial" w:hAnsi="Arial" w:cs="Arial"/>
                <w:sz w:val="20"/>
                <w:szCs w:val="20"/>
              </w:rPr>
              <w:fldChar w:fldCharType="separate"/>
            </w:r>
            <w:r w:rsidR="00465B7F">
              <w:rPr>
                <w:rFonts w:ascii="Arial" w:hAnsi="Arial" w:cs="Arial"/>
                <w:sz w:val="20"/>
                <w:szCs w:val="20"/>
              </w:rPr>
              <w:fldChar w:fldCharType="begin"/>
            </w:r>
            <w:r w:rsidR="00465B7F">
              <w:rPr>
                <w:rFonts w:ascii="Arial" w:hAnsi="Arial" w:cs="Arial"/>
                <w:sz w:val="20"/>
                <w:szCs w:val="20"/>
              </w:rPr>
              <w:instrText xml:space="preserve"> INCLUDEPICTURE  "https://alcaldiademanizales.isolucion.co/Medios4AlcManizales/imagen definitiva0.png" \* MERGEFORMATINET </w:instrText>
            </w:r>
            <w:r w:rsidR="00465B7F">
              <w:rPr>
                <w:rFonts w:ascii="Arial" w:hAnsi="Arial" w:cs="Arial"/>
                <w:sz w:val="20"/>
                <w:szCs w:val="20"/>
              </w:rPr>
              <w:fldChar w:fldCharType="separate"/>
            </w:r>
            <w:r w:rsidR="003B1D78">
              <w:rPr>
                <w:rFonts w:ascii="Arial" w:hAnsi="Arial" w:cs="Arial"/>
                <w:sz w:val="20"/>
                <w:szCs w:val="20"/>
              </w:rPr>
              <w:fldChar w:fldCharType="begin"/>
            </w:r>
            <w:r w:rsidR="003B1D78">
              <w:rPr>
                <w:rFonts w:ascii="Arial" w:hAnsi="Arial" w:cs="Arial"/>
                <w:sz w:val="20"/>
                <w:szCs w:val="20"/>
              </w:rPr>
              <w:instrText xml:space="preserve"> INCLUDEPICTURE  "https://alcaldiademanizales.isolucion.co/Medios4AlcManizales/imagen definitiva0.png" \* MERGEFORMATINET </w:instrText>
            </w:r>
            <w:r w:rsidR="003B1D78">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"https://alcaldiademanizales.isolucion.co/Medios4AlcManizales/imagen definitiva0.png"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"https://alcaldiademanizales.isolucion.co/Medios4AlcManizales/imagen definitiva0.png" \* MERGEFORMATINET </w:instrText>
            </w:r>
            <w:r>
              <w:rPr>
                <w:rFonts w:ascii="Arial" w:hAnsi="Arial" w:cs="Arial"/>
                <w:sz w:val="20"/>
                <w:szCs w:val="20"/>
              </w:rPr>
              <w:fldChar w:fldCharType="separate"/>
            </w:r>
            <w:r w:rsidR="00075CB3">
              <w:rPr>
                <w:rFonts w:ascii="Arial" w:hAnsi="Arial" w:cs="Arial"/>
                <w:sz w:val="20"/>
                <w:szCs w:val="20"/>
              </w:rPr>
              <w:fldChar w:fldCharType="begin"/>
            </w:r>
            <w:r w:rsidR="00075CB3">
              <w:rPr>
                <w:rFonts w:ascii="Arial" w:hAnsi="Arial" w:cs="Arial"/>
                <w:sz w:val="20"/>
                <w:szCs w:val="20"/>
              </w:rPr>
              <w:instrText xml:space="preserve"> INCLUDEPICTURE  "https://alcaldiademanizales.isolucion.co/Medios4AlcManizales/imagen definitiva0.png" \* MERGEFORMATINET </w:instrText>
            </w:r>
            <w:r w:rsidR="00075CB3">
              <w:rPr>
                <w:rFonts w:ascii="Arial" w:hAnsi="Arial" w:cs="Arial"/>
                <w:sz w:val="20"/>
                <w:szCs w:val="20"/>
              </w:rPr>
              <w:fldChar w:fldCharType="separate"/>
            </w:r>
            <w:r w:rsidR="00000000">
              <w:rPr>
                <w:rFonts w:ascii="Arial" w:hAnsi="Arial" w:cs="Arial"/>
                <w:sz w:val="20"/>
                <w:szCs w:val="20"/>
              </w:rPr>
              <w:fldChar w:fldCharType="begin"/>
            </w:r>
            <w:r w:rsidR="00000000">
              <w:rPr>
                <w:rFonts w:ascii="Arial" w:hAnsi="Arial" w:cs="Arial"/>
                <w:sz w:val="20"/>
                <w:szCs w:val="20"/>
              </w:rPr>
              <w:instrText xml:space="preserve"> INCLUDEPICTURE  "https://alcaldiademanizales.isolucion.co/Medios4AlcManizales/imagen definitiva0.png" \* MERGEFORMATINET </w:instrText>
            </w:r>
            <w:r w:rsidR="00000000">
              <w:rPr>
                <w:rFonts w:ascii="Arial" w:hAnsi="Arial" w:cs="Arial"/>
                <w:sz w:val="20"/>
                <w:szCs w:val="20"/>
              </w:rPr>
              <w:fldChar w:fldCharType="separate"/>
            </w:r>
            <w:r w:rsidR="001C2ED6">
              <w:rPr>
                <w:rFonts w:ascii="Arial" w:hAnsi="Arial" w:cs="Arial"/>
                <w:sz w:val="20"/>
                <w:szCs w:val="20"/>
              </w:rPr>
              <w:pict w14:anchorId="52773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5pt;height:111.05pt">
                  <v:imagedata r:id="rId8" r:href="rId9"/>
                </v:shape>
              </w:pict>
            </w:r>
            <w:r w:rsidR="00000000">
              <w:rPr>
                <w:rFonts w:ascii="Arial" w:hAnsi="Arial" w:cs="Arial"/>
                <w:sz w:val="20"/>
                <w:szCs w:val="20"/>
              </w:rPr>
              <w:fldChar w:fldCharType="end"/>
            </w:r>
            <w:r w:rsidR="00075CB3">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003B1D78">
              <w:rPr>
                <w:rFonts w:ascii="Arial" w:hAnsi="Arial" w:cs="Arial"/>
                <w:sz w:val="20"/>
                <w:szCs w:val="20"/>
              </w:rPr>
              <w:fldChar w:fldCharType="end"/>
            </w:r>
            <w:r w:rsidR="00465B7F">
              <w:rPr>
                <w:rFonts w:ascii="Arial" w:hAnsi="Arial" w:cs="Arial"/>
                <w:sz w:val="20"/>
                <w:szCs w:val="20"/>
              </w:rPr>
              <w:fldChar w:fldCharType="end"/>
            </w:r>
            <w:r w:rsidR="00407CCB">
              <w:rPr>
                <w:rFonts w:ascii="Arial" w:hAnsi="Arial" w:cs="Arial"/>
                <w:sz w:val="20"/>
                <w:szCs w:val="20"/>
              </w:rPr>
              <w:fldChar w:fldCharType="end"/>
            </w:r>
            <w:r w:rsidR="002C5851">
              <w:rPr>
                <w:rFonts w:ascii="Arial" w:hAnsi="Arial" w:cs="Arial"/>
                <w:sz w:val="20"/>
                <w:szCs w:val="20"/>
              </w:rPr>
              <w:fldChar w:fldCharType="end"/>
            </w:r>
            <w:r w:rsidR="00692780">
              <w:rPr>
                <w:rFonts w:ascii="Arial" w:hAnsi="Arial" w:cs="Arial"/>
                <w:sz w:val="20"/>
                <w:szCs w:val="20"/>
              </w:rPr>
              <w:fldChar w:fldCharType="end"/>
            </w:r>
            <w:r>
              <w:rPr>
                <w:rFonts w:ascii="Arial" w:hAnsi="Arial" w:cs="Arial"/>
                <w:sz w:val="20"/>
                <w:szCs w:val="20"/>
              </w:rPr>
              <w:fldChar w:fldCharType="end"/>
            </w:r>
            <w:r w:rsidR="0019154C">
              <w:rPr>
                <w:rFonts w:ascii="Arial" w:hAnsi="Arial" w:cs="Arial"/>
                <w:sz w:val="20"/>
                <w:szCs w:val="20"/>
              </w:rPr>
              <w:fldChar w:fldCharType="end"/>
            </w:r>
            <w:r w:rsidR="00413A79">
              <w:rPr>
                <w:rFonts w:ascii="Arial" w:hAnsi="Arial" w:cs="Arial"/>
                <w:sz w:val="20"/>
                <w:szCs w:val="20"/>
              </w:rPr>
              <w:fldChar w:fldCharType="end"/>
            </w:r>
            <w:r w:rsidR="00276151">
              <w:rPr>
                <w:rFonts w:ascii="Arial" w:hAnsi="Arial" w:cs="Arial"/>
                <w:sz w:val="20"/>
                <w:szCs w:val="20"/>
              </w:rPr>
              <w:fldChar w:fldCharType="end"/>
            </w:r>
            <w:r w:rsidR="00987350">
              <w:rPr>
                <w:rFonts w:ascii="Arial" w:hAnsi="Arial" w:cs="Arial"/>
                <w:sz w:val="20"/>
                <w:szCs w:val="20"/>
              </w:rPr>
              <w:fldChar w:fldCharType="end"/>
            </w:r>
            <w:r w:rsidR="00B85191">
              <w:rPr>
                <w:rFonts w:ascii="Arial" w:hAnsi="Arial" w:cs="Arial"/>
                <w:sz w:val="20"/>
                <w:szCs w:val="20"/>
              </w:rPr>
              <w:fldChar w:fldCharType="end"/>
            </w:r>
            <w:r w:rsidR="0091013C" w:rsidRPr="00240FC6">
              <w:rPr>
                <w:rFonts w:ascii="Arial" w:hAnsi="Arial" w:cs="Arial"/>
                <w:sz w:val="20"/>
                <w:szCs w:val="20"/>
              </w:rPr>
              <w:fldChar w:fldCharType="end"/>
            </w:r>
            <w:r w:rsidR="00AA6AA4" w:rsidRPr="00240FC6">
              <w:rPr>
                <w:rFonts w:ascii="Arial" w:hAnsi="Arial" w:cs="Arial"/>
                <w:sz w:val="20"/>
                <w:szCs w:val="20"/>
              </w:rPr>
              <w:fldChar w:fldCharType="end"/>
            </w:r>
            <w:r w:rsidRPr="00240FC6">
              <w:rPr>
                <w:rFonts w:ascii="Arial" w:hAnsi="Arial" w:cs="Arial"/>
                <w:sz w:val="20"/>
                <w:szCs w:val="20"/>
              </w:rPr>
              <w:fldChar w:fldCharType="end"/>
            </w:r>
            <w:r w:rsidRPr="00240FC6">
              <w:rPr>
                <w:rFonts w:ascii="Arial" w:hAnsi="Arial" w:cs="Arial"/>
                <w:sz w:val="20"/>
                <w:szCs w:val="20"/>
              </w:rPr>
              <w:fldChar w:fldCharType="end"/>
            </w:r>
            <w:r w:rsidR="007D3986" w:rsidRPr="00240FC6">
              <w:rPr>
                <w:rFonts w:ascii="Arial" w:hAnsi="Arial" w:cs="Arial"/>
                <w:sz w:val="20"/>
                <w:szCs w:val="20"/>
              </w:rPr>
              <w:fldChar w:fldCharType="end"/>
            </w:r>
            <w:r w:rsidR="00646C80" w:rsidRPr="00240FC6">
              <w:rPr>
                <w:rFonts w:ascii="Arial" w:hAnsi="Arial" w:cs="Arial"/>
                <w:sz w:val="20"/>
                <w:szCs w:val="20"/>
              </w:rPr>
              <w:fldChar w:fldCharType="end"/>
            </w:r>
            <w:r w:rsidR="00565F1D" w:rsidRPr="00240FC6">
              <w:rPr>
                <w:rFonts w:ascii="Arial" w:hAnsi="Arial" w:cs="Arial"/>
                <w:sz w:val="20"/>
                <w:szCs w:val="20"/>
              </w:rPr>
              <w:fldChar w:fldCharType="end"/>
            </w:r>
            <w:r w:rsidRPr="00240FC6">
              <w:rPr>
                <w:rFonts w:ascii="Arial" w:hAnsi="Arial" w:cs="Arial"/>
                <w:sz w:val="20"/>
                <w:szCs w:val="20"/>
              </w:rPr>
              <w:fldChar w:fldCharType="end"/>
            </w:r>
            <w:r w:rsidRPr="00240FC6">
              <w:rPr>
                <w:rFonts w:ascii="Arial" w:hAnsi="Arial" w:cs="Arial"/>
                <w:sz w:val="20"/>
                <w:szCs w:val="20"/>
              </w:rPr>
              <w:fldChar w:fldCharType="end"/>
            </w:r>
            <w:r w:rsidRPr="00240FC6">
              <w:rPr>
                <w:rFonts w:ascii="Arial" w:hAnsi="Arial" w:cs="Arial"/>
                <w:sz w:val="20"/>
                <w:szCs w:val="20"/>
              </w:rPr>
              <w:fldChar w:fldCharType="end"/>
            </w:r>
            <w:r w:rsidRPr="00240FC6">
              <w:rPr>
                <w:rFonts w:ascii="Arial" w:hAnsi="Arial" w:cs="Arial"/>
                <w:sz w:val="20"/>
                <w:szCs w:val="20"/>
              </w:rPr>
              <w:fldChar w:fldCharType="end"/>
            </w:r>
          </w:p>
        </w:tc>
        <w:tc>
          <w:tcPr>
            <w:tcW w:w="3750" w:type="pct"/>
            <w:tcBorders>
              <w:top w:val="outset" w:sz="6" w:space="0" w:color="auto"/>
              <w:left w:val="outset" w:sz="6" w:space="0" w:color="auto"/>
              <w:bottom w:val="outset" w:sz="6" w:space="0" w:color="auto"/>
              <w:right w:val="outset" w:sz="6" w:space="0" w:color="auto"/>
            </w:tcBorders>
            <w:vAlign w:val="center"/>
            <w:hideMark/>
          </w:tcPr>
          <w:p w14:paraId="1B10CFEC" w14:textId="2D26EFC9" w:rsidR="004467C6" w:rsidRPr="00240FC6" w:rsidRDefault="004467C6" w:rsidP="000060C2">
            <w:pPr>
              <w:pStyle w:val="Ttulo"/>
              <w:jc w:val="center"/>
              <w:rPr>
                <w:rFonts w:ascii="Arial" w:hAnsi="Arial" w:cs="Arial"/>
                <w:b/>
                <w:sz w:val="20"/>
                <w:szCs w:val="20"/>
              </w:rPr>
            </w:pPr>
            <w:r w:rsidRPr="00240FC6">
              <w:rPr>
                <w:rFonts w:ascii="Arial" w:hAnsi="Arial" w:cs="Arial"/>
                <w:b/>
                <w:sz w:val="20"/>
                <w:szCs w:val="20"/>
              </w:rPr>
              <w:t>PROCEDIMIENTO</w:t>
            </w:r>
          </w:p>
        </w:tc>
      </w:tr>
      <w:tr w:rsidR="004467C6" w:rsidRPr="00240FC6" w14:paraId="3C0F9E1D" w14:textId="77777777" w:rsidTr="0074147F">
        <w:trPr>
          <w:trHeight w:val="48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D734A0" w14:textId="77777777" w:rsidR="004467C6" w:rsidRPr="00240FC6" w:rsidRDefault="004467C6" w:rsidP="004467C6">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0AB006" w14:textId="0514414B" w:rsidR="004467C6" w:rsidRPr="00A37BDF" w:rsidRDefault="0074147F" w:rsidP="00A37BDF">
            <w:pPr>
              <w:jc w:val="right"/>
              <w:rPr>
                <w:rFonts w:ascii="Arial" w:hAnsi="Arial" w:cs="Arial"/>
                <w:sz w:val="20"/>
                <w:szCs w:val="20"/>
              </w:rPr>
            </w:pPr>
            <w:r w:rsidRPr="0074147F">
              <w:rPr>
                <w:rFonts w:ascii="Arial" w:hAnsi="Arial" w:cs="Arial"/>
                <w:sz w:val="20"/>
                <w:szCs w:val="20"/>
              </w:rPr>
              <w:t>Análisis y difusión de los datos de mercado laboral territorial</w:t>
            </w:r>
          </w:p>
        </w:tc>
      </w:tr>
      <w:tr w:rsidR="004467C6" w:rsidRPr="00240FC6" w14:paraId="7FDFB33C" w14:textId="77777777" w:rsidTr="0074147F">
        <w:trPr>
          <w:trHeight w:val="19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318066" w14:textId="77777777" w:rsidR="004467C6" w:rsidRPr="00240FC6" w:rsidRDefault="004467C6" w:rsidP="004467C6">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1795EF" w14:textId="30B62B3F" w:rsidR="004467C6" w:rsidRPr="00240FC6" w:rsidRDefault="00746347" w:rsidP="000060C2">
            <w:pPr>
              <w:jc w:val="right"/>
              <w:rPr>
                <w:rFonts w:ascii="Arial" w:hAnsi="Arial" w:cs="Arial"/>
                <w:sz w:val="20"/>
                <w:szCs w:val="20"/>
              </w:rPr>
            </w:pPr>
            <w:r w:rsidRPr="00240FC6">
              <w:rPr>
                <w:rFonts w:ascii="Arial" w:hAnsi="Arial" w:cs="Arial"/>
                <w:sz w:val="20"/>
                <w:szCs w:val="20"/>
              </w:rPr>
              <w:t>Versión:</w:t>
            </w:r>
            <w:r w:rsidR="001C2E52" w:rsidRPr="00240FC6">
              <w:rPr>
                <w:rFonts w:ascii="Arial" w:hAnsi="Arial" w:cs="Arial"/>
                <w:b/>
                <w:color w:val="FF0000"/>
                <w:sz w:val="20"/>
                <w:szCs w:val="20"/>
              </w:rPr>
              <w:t xml:space="preserve"> </w:t>
            </w:r>
            <w:r w:rsidRPr="00240FC6">
              <w:rPr>
                <w:rFonts w:ascii="Arial" w:hAnsi="Arial" w:cs="Arial"/>
                <w:b/>
                <w:sz w:val="20"/>
                <w:szCs w:val="20"/>
              </w:rPr>
              <w:t>1</w:t>
            </w:r>
          </w:p>
        </w:tc>
      </w:tr>
      <w:tr w:rsidR="004467C6" w:rsidRPr="00240FC6" w14:paraId="4E98E3D1" w14:textId="77777777" w:rsidTr="0074147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EBF497" w14:textId="77777777" w:rsidR="004467C6" w:rsidRPr="00240FC6" w:rsidRDefault="004467C6" w:rsidP="004467C6">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131EFE" w14:textId="444C8518" w:rsidR="004467C6" w:rsidRPr="00240FC6" w:rsidRDefault="004467C6" w:rsidP="000060C2">
            <w:pPr>
              <w:jc w:val="right"/>
              <w:rPr>
                <w:rFonts w:ascii="Arial" w:hAnsi="Arial" w:cs="Arial"/>
                <w:sz w:val="20"/>
                <w:szCs w:val="20"/>
              </w:rPr>
            </w:pPr>
            <w:r w:rsidRPr="00240FC6">
              <w:rPr>
                <w:rFonts w:ascii="Arial" w:hAnsi="Arial" w:cs="Arial"/>
                <w:sz w:val="20"/>
                <w:szCs w:val="20"/>
              </w:rPr>
              <w:t>Código</w:t>
            </w:r>
            <w:r w:rsidR="00746347" w:rsidRPr="00240FC6">
              <w:rPr>
                <w:rFonts w:ascii="Arial" w:hAnsi="Arial" w:cs="Arial"/>
                <w:sz w:val="20"/>
                <w:szCs w:val="20"/>
              </w:rPr>
              <w:t>:</w:t>
            </w:r>
            <w:r w:rsidR="00983E2B">
              <w:rPr>
                <w:rFonts w:ascii="Arial" w:hAnsi="Arial" w:cs="Arial"/>
                <w:sz w:val="20"/>
                <w:szCs w:val="20"/>
              </w:rPr>
              <w:t xml:space="preserve"> </w:t>
            </w:r>
            <w:r w:rsidR="00983E2B" w:rsidRPr="00983E2B">
              <w:rPr>
                <w:rFonts w:ascii="Arial" w:hAnsi="Arial" w:cs="Arial"/>
                <w:sz w:val="20"/>
                <w:szCs w:val="20"/>
              </w:rPr>
              <w:t xml:space="preserve"> </w:t>
            </w:r>
            <w:r w:rsidR="00983E2B" w:rsidRPr="00983E2B">
              <w:rPr>
                <w:rFonts w:ascii="Arial" w:hAnsi="Arial" w:cs="Arial"/>
                <w:sz w:val="20"/>
                <w:szCs w:val="20"/>
              </w:rPr>
              <w:t>GTC-EFED</w:t>
            </w:r>
            <w:r w:rsidR="00983E2B">
              <w:rPr>
                <w:rFonts w:ascii="Arial" w:hAnsi="Arial" w:cs="Arial"/>
                <w:sz w:val="20"/>
                <w:szCs w:val="20"/>
              </w:rPr>
              <w:t>-007</w:t>
            </w:r>
            <w:r w:rsidR="00746347" w:rsidRPr="00240FC6">
              <w:rPr>
                <w:rFonts w:ascii="Arial" w:hAnsi="Arial" w:cs="Arial"/>
                <w:sz w:val="20"/>
                <w:szCs w:val="20"/>
              </w:rPr>
              <w:t xml:space="preserve"> </w:t>
            </w:r>
            <w:r w:rsidRPr="00240FC6">
              <w:rPr>
                <w:rFonts w:ascii="Arial" w:hAnsi="Arial" w:cs="Arial"/>
                <w:sz w:val="20"/>
                <w:szCs w:val="20"/>
              </w:rPr>
              <w:t xml:space="preserve"> </w:t>
            </w:r>
          </w:p>
        </w:tc>
      </w:tr>
    </w:tbl>
    <w:p w14:paraId="5A68B831" w14:textId="77777777" w:rsidR="00D3208E" w:rsidRPr="00240FC6" w:rsidRDefault="00D3208E" w:rsidP="00D3208E">
      <w:pPr>
        <w:rPr>
          <w:rFonts w:ascii="Arial" w:hAnsi="Arial" w:cs="Arial"/>
          <w:sz w:val="20"/>
          <w:szCs w:val="20"/>
        </w:rPr>
      </w:pPr>
    </w:p>
    <w:p w14:paraId="7E6F25E2" w14:textId="77777777" w:rsidR="00D3208E" w:rsidRPr="00240FC6" w:rsidRDefault="00D3208E" w:rsidP="00D3208E">
      <w:pPr>
        <w:rPr>
          <w:rFonts w:ascii="Arial" w:hAnsi="Arial" w:cs="Arial"/>
          <w:vanish/>
          <w:sz w:val="20"/>
          <w:szCs w:val="2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9814"/>
      </w:tblGrid>
      <w:tr w:rsidR="00D3208E" w:rsidRPr="00240FC6" w14:paraId="602F237E" w14:textId="77777777" w:rsidTr="001F4B8E">
        <w:trPr>
          <w:trHeight w:val="317"/>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CC6381A" w14:textId="7B77C15F" w:rsidR="00293470" w:rsidRPr="00240FC6" w:rsidRDefault="00D3208E" w:rsidP="006A4D92">
            <w:pPr>
              <w:rPr>
                <w:rFonts w:ascii="Arial" w:hAnsi="Arial" w:cs="Arial"/>
                <w:color w:val="111111"/>
                <w:sz w:val="20"/>
                <w:szCs w:val="20"/>
                <w:shd w:val="clear" w:color="auto" w:fill="FFFFFF"/>
              </w:rPr>
            </w:pPr>
            <w:r w:rsidRPr="00240FC6">
              <w:rPr>
                <w:rFonts w:ascii="Arial" w:hAnsi="Arial" w:cs="Arial"/>
                <w:b/>
                <w:sz w:val="20"/>
                <w:szCs w:val="20"/>
              </w:rPr>
              <w:t>PROCESO:</w:t>
            </w:r>
            <w:r w:rsidR="00293470" w:rsidRPr="00240FC6">
              <w:rPr>
                <w:rFonts w:ascii="Arial" w:hAnsi="Arial" w:cs="Arial"/>
                <w:color w:val="111111"/>
                <w:sz w:val="20"/>
                <w:szCs w:val="20"/>
                <w:shd w:val="clear" w:color="auto" w:fill="FFFFFF"/>
              </w:rPr>
              <w:t xml:space="preserve"> </w:t>
            </w:r>
          </w:p>
          <w:p w14:paraId="090D597F" w14:textId="5114AB14" w:rsidR="00D3208E" w:rsidRPr="00240FC6" w:rsidRDefault="008947FB" w:rsidP="006A4D92">
            <w:pPr>
              <w:rPr>
                <w:rFonts w:ascii="Arial" w:hAnsi="Arial" w:cs="Arial"/>
                <w:b/>
                <w:sz w:val="20"/>
                <w:szCs w:val="20"/>
              </w:rPr>
            </w:pPr>
            <w:r>
              <w:rPr>
                <w:rFonts w:ascii="Arial" w:eastAsia="Arial MT" w:hAnsi="Arial" w:cs="Arial"/>
                <w:bCs/>
                <w:sz w:val="20"/>
                <w:szCs w:val="20"/>
                <w:lang w:eastAsia="en-US"/>
              </w:rPr>
              <w:t>Fomento de</w:t>
            </w:r>
            <w:r w:rsidR="00AE3276" w:rsidRPr="00AE3276">
              <w:rPr>
                <w:rFonts w:ascii="Arial" w:eastAsia="Arial MT" w:hAnsi="Arial" w:cs="Arial"/>
                <w:bCs/>
                <w:sz w:val="20"/>
                <w:szCs w:val="20"/>
                <w:lang w:eastAsia="en-US"/>
              </w:rPr>
              <w:t>l empleo digno y decente</w:t>
            </w:r>
          </w:p>
        </w:tc>
      </w:tr>
    </w:tbl>
    <w:p w14:paraId="0B71881F" w14:textId="77777777" w:rsidR="00D3208E" w:rsidRPr="00240FC6" w:rsidRDefault="00D3208E" w:rsidP="00D3208E">
      <w:pPr>
        <w:rPr>
          <w:rFonts w:ascii="Arial" w:hAnsi="Arial" w:cs="Arial"/>
          <w:sz w:val="20"/>
          <w:szCs w:val="20"/>
        </w:rPr>
      </w:pPr>
    </w:p>
    <w:tbl>
      <w:tblPr>
        <w:tblW w:w="5046" w:type="pct"/>
        <w:tblCellSpacing w:w="0" w:type="dxa"/>
        <w:tblCellMar>
          <w:left w:w="0" w:type="dxa"/>
          <w:right w:w="0" w:type="dxa"/>
        </w:tblCellMar>
        <w:tblLook w:val="04A0" w:firstRow="1" w:lastRow="0" w:firstColumn="1" w:lastColumn="0" w:noHBand="0" w:noVBand="1"/>
      </w:tblPr>
      <w:tblGrid>
        <w:gridCol w:w="3060"/>
        <w:gridCol w:w="6850"/>
      </w:tblGrid>
      <w:tr w:rsidR="00D3208E" w:rsidRPr="00240FC6" w14:paraId="33E95E80" w14:textId="77777777" w:rsidTr="00E07860">
        <w:trPr>
          <w:trHeight w:val="641"/>
          <w:tblCellSpacing w:w="0" w:type="dxa"/>
        </w:trPr>
        <w:tc>
          <w:tcPr>
            <w:tcW w:w="3060" w:type="dxa"/>
            <w:tcBorders>
              <w:top w:val="single" w:sz="4" w:space="0" w:color="auto"/>
              <w:left w:val="single" w:sz="4" w:space="0" w:color="auto"/>
              <w:bottom w:val="single" w:sz="4" w:space="0" w:color="auto"/>
            </w:tcBorders>
            <w:vAlign w:val="center"/>
            <w:hideMark/>
          </w:tcPr>
          <w:tbl>
            <w:tblPr>
              <w:tblW w:w="3050" w:type="dxa"/>
              <w:tblCellSpacing w:w="15" w:type="dxa"/>
              <w:tblCellMar>
                <w:left w:w="0" w:type="dxa"/>
                <w:right w:w="0" w:type="dxa"/>
              </w:tblCellMar>
              <w:tblLook w:val="04A0" w:firstRow="1" w:lastRow="0" w:firstColumn="1" w:lastColumn="0" w:noHBand="0" w:noVBand="1"/>
            </w:tblPr>
            <w:tblGrid>
              <w:gridCol w:w="3050"/>
            </w:tblGrid>
            <w:tr w:rsidR="00D3208E" w:rsidRPr="00240FC6" w14:paraId="489929C3" w14:textId="77777777" w:rsidTr="001F4B8E">
              <w:trPr>
                <w:trHeight w:val="1031"/>
                <w:tblCellSpacing w:w="15" w:type="dxa"/>
              </w:trPr>
              <w:tc>
                <w:tcPr>
                  <w:tcW w:w="0" w:type="auto"/>
                  <w:vAlign w:val="center"/>
                  <w:hideMark/>
                </w:tcPr>
                <w:p w14:paraId="1D7FBD98" w14:textId="68A0A459" w:rsidR="00D3208E" w:rsidRPr="00240FC6" w:rsidRDefault="00D3208E" w:rsidP="000060C2">
                  <w:pPr>
                    <w:rPr>
                      <w:rFonts w:ascii="Arial" w:hAnsi="Arial" w:cs="Arial"/>
                      <w:b/>
                      <w:sz w:val="20"/>
                      <w:szCs w:val="20"/>
                      <w:lang w:val="es-CO" w:eastAsia="es-CO"/>
                    </w:rPr>
                  </w:pPr>
                  <w:r w:rsidRPr="00240FC6">
                    <w:rPr>
                      <w:rStyle w:val="Textoennegrita"/>
                      <w:rFonts w:ascii="Arial" w:hAnsi="Arial" w:cs="Arial"/>
                      <w:sz w:val="20"/>
                      <w:szCs w:val="20"/>
                    </w:rPr>
                    <w:t>OBJETIVO:</w:t>
                  </w:r>
                  <w:r w:rsidR="00F044FA" w:rsidRPr="00240FC6">
                    <w:rPr>
                      <w:rStyle w:val="Textoennegrita"/>
                      <w:rFonts w:ascii="Arial" w:hAnsi="Arial" w:cs="Arial"/>
                      <w:sz w:val="20"/>
                      <w:szCs w:val="20"/>
                    </w:rPr>
                    <w:t xml:space="preserve"> </w:t>
                  </w:r>
                </w:p>
              </w:tc>
            </w:tr>
          </w:tbl>
          <w:p w14:paraId="36E40ADD" w14:textId="77777777" w:rsidR="00D3208E" w:rsidRPr="00240FC6" w:rsidRDefault="00D3208E" w:rsidP="001F4B8E">
            <w:pPr>
              <w:rPr>
                <w:rFonts w:ascii="Arial" w:hAnsi="Arial" w:cs="Arial"/>
                <w:b/>
                <w:sz w:val="20"/>
                <w:szCs w:val="20"/>
              </w:rPr>
            </w:pPr>
          </w:p>
        </w:tc>
        <w:tc>
          <w:tcPr>
            <w:tcW w:w="6858" w:type="dxa"/>
            <w:tcBorders>
              <w:top w:val="single" w:sz="4" w:space="0" w:color="auto"/>
              <w:left w:val="single" w:sz="4" w:space="0" w:color="auto"/>
              <w:bottom w:val="single" w:sz="4" w:space="0" w:color="auto"/>
              <w:right w:val="single" w:sz="4" w:space="0" w:color="auto"/>
            </w:tcBorders>
            <w:vAlign w:val="center"/>
            <w:hideMark/>
          </w:tcPr>
          <w:p w14:paraId="65817EC6" w14:textId="5111F541" w:rsidR="00A15DC5" w:rsidRPr="00240FC6" w:rsidRDefault="001F7A16" w:rsidP="00A37BDF">
            <w:pPr>
              <w:pStyle w:val="Textoindependiente"/>
              <w:spacing w:before="4"/>
              <w:jc w:val="both"/>
              <w:rPr>
                <w:rFonts w:ascii="Arial" w:hAnsi="Arial" w:cs="Arial"/>
                <w:bCs/>
                <w:sz w:val="20"/>
                <w:szCs w:val="20"/>
              </w:rPr>
            </w:pPr>
            <w:r>
              <w:rPr>
                <w:rFonts w:ascii="Arial" w:eastAsia="Times New Roman" w:hAnsi="Arial" w:cs="Arial"/>
                <w:sz w:val="20"/>
                <w:szCs w:val="20"/>
                <w:lang w:eastAsia="es-ES"/>
              </w:rPr>
              <w:t>Interpretar los datos estadísticos de la Gran encuesta integrada de hogares GEIH para la ciudad de Manizales que permita en un lenguaje claro entender las tendencias del mercado laboral frente a diferentes variables.</w:t>
            </w:r>
          </w:p>
        </w:tc>
      </w:tr>
      <w:tr w:rsidR="00D3208E" w:rsidRPr="00240FC6" w14:paraId="78BF1CFE" w14:textId="77777777" w:rsidTr="004467C6">
        <w:trPr>
          <w:trHeight w:val="764"/>
          <w:tblCellSpacing w:w="0" w:type="dxa"/>
        </w:trPr>
        <w:tc>
          <w:tcPr>
            <w:tcW w:w="3060" w:type="dxa"/>
            <w:tcBorders>
              <w:top w:val="single" w:sz="4" w:space="0" w:color="auto"/>
              <w:left w:val="single" w:sz="4" w:space="0" w:color="auto"/>
              <w:bottom w:val="single" w:sz="4" w:space="0" w:color="auto"/>
            </w:tcBorders>
            <w:vAlign w:val="center"/>
            <w:hideMark/>
          </w:tcPr>
          <w:tbl>
            <w:tblPr>
              <w:tblW w:w="3050" w:type="dxa"/>
              <w:tblCellSpacing w:w="15" w:type="dxa"/>
              <w:tblCellMar>
                <w:left w:w="0" w:type="dxa"/>
                <w:right w:w="0" w:type="dxa"/>
              </w:tblCellMar>
              <w:tblLook w:val="04A0" w:firstRow="1" w:lastRow="0" w:firstColumn="1" w:lastColumn="0" w:noHBand="0" w:noVBand="1"/>
            </w:tblPr>
            <w:tblGrid>
              <w:gridCol w:w="3050"/>
            </w:tblGrid>
            <w:tr w:rsidR="00D3208E" w:rsidRPr="00FC27C4" w14:paraId="66AFE437" w14:textId="77777777" w:rsidTr="001F4B8E">
              <w:trPr>
                <w:trHeight w:val="501"/>
                <w:tblCellSpacing w:w="15" w:type="dxa"/>
              </w:trPr>
              <w:tc>
                <w:tcPr>
                  <w:tcW w:w="0" w:type="auto"/>
                  <w:vAlign w:val="center"/>
                  <w:hideMark/>
                </w:tcPr>
                <w:p w14:paraId="411F3E81" w14:textId="53BAE47E" w:rsidR="00F044FA" w:rsidRPr="00FC27C4" w:rsidRDefault="00D3208E" w:rsidP="00F044FA">
                  <w:pPr>
                    <w:jc w:val="both"/>
                    <w:rPr>
                      <w:rFonts w:ascii="Arial" w:hAnsi="Arial" w:cs="Arial"/>
                      <w:sz w:val="20"/>
                      <w:szCs w:val="20"/>
                    </w:rPr>
                  </w:pPr>
                  <w:r w:rsidRPr="00FC27C4">
                    <w:rPr>
                      <w:rFonts w:ascii="Arial" w:hAnsi="Arial" w:cs="Arial"/>
                      <w:b/>
                      <w:sz w:val="20"/>
                      <w:szCs w:val="20"/>
                    </w:rPr>
                    <w:t>ALCANCE:</w:t>
                  </w:r>
                  <w:r w:rsidR="00F044FA" w:rsidRPr="00FC27C4">
                    <w:rPr>
                      <w:rFonts w:ascii="Arial" w:hAnsi="Arial" w:cs="Arial"/>
                      <w:b/>
                      <w:sz w:val="20"/>
                      <w:szCs w:val="20"/>
                    </w:rPr>
                    <w:t xml:space="preserve"> </w:t>
                  </w:r>
                </w:p>
                <w:p w14:paraId="1ADB35E9" w14:textId="5703A008" w:rsidR="00D3208E" w:rsidRPr="00FC27C4" w:rsidRDefault="00D3208E" w:rsidP="001F4B8E">
                  <w:pPr>
                    <w:rPr>
                      <w:rFonts w:ascii="Arial" w:hAnsi="Arial" w:cs="Arial"/>
                      <w:b/>
                      <w:sz w:val="20"/>
                      <w:szCs w:val="20"/>
                    </w:rPr>
                  </w:pPr>
                </w:p>
              </w:tc>
            </w:tr>
          </w:tbl>
          <w:p w14:paraId="04D2F125" w14:textId="77777777" w:rsidR="00D3208E" w:rsidRPr="00FC27C4" w:rsidRDefault="00D3208E" w:rsidP="001F4B8E">
            <w:pPr>
              <w:rPr>
                <w:rFonts w:ascii="Arial" w:hAnsi="Arial" w:cs="Arial"/>
                <w:b/>
                <w:sz w:val="20"/>
                <w:szCs w:val="20"/>
              </w:rPr>
            </w:pPr>
          </w:p>
        </w:tc>
        <w:tc>
          <w:tcPr>
            <w:tcW w:w="6858" w:type="dxa"/>
            <w:tcBorders>
              <w:top w:val="single" w:sz="4" w:space="0" w:color="auto"/>
              <w:left w:val="single" w:sz="4" w:space="0" w:color="auto"/>
              <w:bottom w:val="single" w:sz="4" w:space="0" w:color="auto"/>
              <w:right w:val="single" w:sz="4" w:space="0" w:color="auto"/>
            </w:tcBorders>
            <w:vAlign w:val="center"/>
            <w:hideMark/>
          </w:tcPr>
          <w:p w14:paraId="2B79BFC8" w14:textId="1DE3F833" w:rsidR="00A15DC5" w:rsidRPr="00FC27C4" w:rsidRDefault="00A15DC5" w:rsidP="00B12645">
            <w:pPr>
              <w:ind w:right="133"/>
              <w:jc w:val="both"/>
              <w:rPr>
                <w:rFonts w:ascii="Arial" w:hAnsi="Arial" w:cs="Arial"/>
                <w:sz w:val="20"/>
                <w:szCs w:val="20"/>
              </w:rPr>
            </w:pPr>
            <w:r w:rsidRPr="00FC27C4">
              <w:rPr>
                <w:rFonts w:ascii="Arial" w:hAnsi="Arial" w:cs="Arial"/>
                <w:sz w:val="20"/>
                <w:szCs w:val="20"/>
              </w:rPr>
              <w:t xml:space="preserve">Inicia </w:t>
            </w:r>
            <w:r w:rsidR="001F7A16">
              <w:rPr>
                <w:rFonts w:ascii="Arial" w:hAnsi="Arial" w:cs="Arial"/>
                <w:sz w:val="20"/>
                <w:szCs w:val="20"/>
              </w:rPr>
              <w:t>con l</w:t>
            </w:r>
            <w:r w:rsidR="00C712C5">
              <w:rPr>
                <w:rFonts w:ascii="Arial" w:hAnsi="Arial" w:cs="Arial"/>
                <w:sz w:val="20"/>
                <w:szCs w:val="20"/>
              </w:rPr>
              <w:t>a consulta de las publicaciones mensuales de la tasa de desempleo de cada trimestre móvil generado por el DANE, continua con la interpretación de los datos comparando con el mismo trimestre móvil del año anterior, sigue el análisis de los microdatos de la GEIH para determinar tendencias de acuerdo a variables de género, edad, nivel educativo y actividades económicas y finaliza con la publicación y difusión de los análisis realizados como insumo para el establecimiento de estrategias para el emprendimiento, la competitividad y el empleo en el Municipio de Manizales</w:t>
            </w:r>
          </w:p>
        </w:tc>
      </w:tr>
    </w:tbl>
    <w:p w14:paraId="56C82519" w14:textId="77777777" w:rsidR="00D3208E" w:rsidRPr="00240FC6" w:rsidRDefault="00D3208E" w:rsidP="00D3208E">
      <w:pPr>
        <w:rPr>
          <w:rFonts w:ascii="Arial" w:hAnsi="Arial" w:cs="Arial"/>
          <w:sz w:val="20"/>
          <w:szCs w:val="20"/>
        </w:rPr>
      </w:pPr>
    </w:p>
    <w:p w14:paraId="685A18B0" w14:textId="77777777" w:rsidR="004C53E3" w:rsidRDefault="004C53E3" w:rsidP="00D3208E">
      <w:pPr>
        <w:rPr>
          <w:rFonts w:ascii="Arial" w:hAnsi="Arial" w:cs="Arial"/>
          <w:sz w:val="20"/>
          <w:szCs w:val="20"/>
        </w:rPr>
      </w:pPr>
    </w:p>
    <w:p w14:paraId="68E9ECA5" w14:textId="79371CC4" w:rsidR="00D3208E" w:rsidRPr="00285BE6" w:rsidRDefault="00D3208E" w:rsidP="00D3208E">
      <w:pPr>
        <w:rPr>
          <w:rFonts w:ascii="Arial" w:hAnsi="Arial" w:cs="Arial"/>
          <w:color w:val="000000"/>
          <w:sz w:val="22"/>
          <w:szCs w:val="20"/>
        </w:rPr>
      </w:pPr>
      <w:r w:rsidRPr="00285BE6">
        <w:rPr>
          <w:rFonts w:ascii="Arial" w:hAnsi="Arial" w:cs="Arial"/>
          <w:sz w:val="22"/>
          <w:szCs w:val="20"/>
        </w:rPr>
        <w:t>3.</w:t>
      </w:r>
      <w:r w:rsidRPr="00285BE6">
        <w:rPr>
          <w:rFonts w:ascii="Arial" w:hAnsi="Arial" w:cs="Arial"/>
          <w:b/>
          <w:sz w:val="22"/>
          <w:szCs w:val="20"/>
        </w:rPr>
        <w:t xml:space="preserve"> </w:t>
      </w:r>
      <w:r w:rsidRPr="00285BE6">
        <w:rPr>
          <w:rFonts w:ascii="Arial" w:hAnsi="Arial" w:cs="Arial"/>
          <w:b/>
          <w:color w:val="000000"/>
          <w:sz w:val="22"/>
          <w:szCs w:val="20"/>
        </w:rPr>
        <w:t>RESPONSABLE</w:t>
      </w:r>
      <w:r w:rsidR="009E1A7A">
        <w:rPr>
          <w:rFonts w:ascii="Arial" w:hAnsi="Arial" w:cs="Arial"/>
          <w:b/>
          <w:color w:val="000000"/>
          <w:sz w:val="22"/>
          <w:szCs w:val="20"/>
        </w:rPr>
        <w:t>S</w:t>
      </w:r>
      <w:r w:rsidRPr="00285BE6">
        <w:rPr>
          <w:rFonts w:ascii="Arial" w:hAnsi="Arial" w:cs="Arial"/>
          <w:b/>
          <w:color w:val="000000"/>
          <w:sz w:val="22"/>
          <w:szCs w:val="20"/>
        </w:rPr>
        <w:t>:</w:t>
      </w:r>
      <w:r w:rsidRPr="00285BE6">
        <w:rPr>
          <w:rFonts w:ascii="Arial" w:hAnsi="Arial" w:cs="Arial"/>
          <w:color w:val="000000"/>
          <w:sz w:val="22"/>
          <w:szCs w:val="20"/>
        </w:rPr>
        <w:t xml:space="preserve"> </w:t>
      </w:r>
    </w:p>
    <w:p w14:paraId="637CD1A0" w14:textId="77777777" w:rsidR="009E1A7A" w:rsidRPr="009E1A7A" w:rsidRDefault="009E1A7A" w:rsidP="009E1A7A">
      <w:pPr>
        <w:rPr>
          <w:rFonts w:ascii="Arial" w:hAnsi="Arial" w:cs="Arial"/>
          <w:b/>
          <w:sz w:val="22"/>
          <w:szCs w:val="20"/>
        </w:rPr>
      </w:pPr>
    </w:p>
    <w:p w14:paraId="4682DA84" w14:textId="2B5F7D63" w:rsidR="009E1A7A" w:rsidRPr="009E1A7A" w:rsidRDefault="009E1A7A" w:rsidP="009E1A7A">
      <w:pPr>
        <w:rPr>
          <w:rFonts w:ascii="Arial" w:hAnsi="Arial" w:cs="Arial"/>
          <w:b/>
          <w:sz w:val="22"/>
          <w:szCs w:val="20"/>
        </w:rPr>
      </w:pPr>
      <w:r w:rsidRPr="009E1A7A">
        <w:rPr>
          <w:rFonts w:ascii="Arial" w:hAnsi="Arial" w:cs="Arial"/>
          <w:b/>
          <w:sz w:val="22"/>
          <w:szCs w:val="20"/>
        </w:rPr>
        <w:t>Profesional Universitaria-</w:t>
      </w:r>
      <w:r w:rsidR="00AE3276">
        <w:rPr>
          <w:rFonts w:ascii="Arial" w:hAnsi="Arial" w:cs="Arial"/>
          <w:b/>
          <w:sz w:val="22"/>
          <w:szCs w:val="20"/>
        </w:rPr>
        <w:t xml:space="preserve">Empleo - </w:t>
      </w:r>
      <w:r w:rsidRPr="009E1A7A">
        <w:rPr>
          <w:rFonts w:ascii="Arial" w:hAnsi="Arial" w:cs="Arial"/>
          <w:b/>
          <w:sz w:val="22"/>
          <w:szCs w:val="20"/>
        </w:rPr>
        <w:t>Secretaría de TIC y Competitividad.</w:t>
      </w:r>
    </w:p>
    <w:p w14:paraId="104B93D6" w14:textId="77777777" w:rsidR="009E1A7A" w:rsidRPr="009E1A7A" w:rsidRDefault="009E1A7A" w:rsidP="00D3208E">
      <w:pPr>
        <w:rPr>
          <w:rFonts w:ascii="Arial" w:hAnsi="Arial" w:cs="Arial"/>
          <w:b/>
          <w:sz w:val="22"/>
          <w:szCs w:val="20"/>
        </w:rPr>
      </w:pPr>
    </w:p>
    <w:p w14:paraId="2010D683" w14:textId="77777777" w:rsidR="00CC733B" w:rsidRPr="00285BE6" w:rsidRDefault="00CC733B" w:rsidP="00D3208E">
      <w:pPr>
        <w:rPr>
          <w:rFonts w:ascii="Arial" w:hAnsi="Arial" w:cs="Arial"/>
          <w:sz w:val="22"/>
          <w:szCs w:val="20"/>
        </w:rPr>
      </w:pPr>
    </w:p>
    <w:p w14:paraId="6D6E1DFB" w14:textId="79187C0F" w:rsidR="00746347" w:rsidRPr="00285BE6" w:rsidRDefault="00D3208E" w:rsidP="00D3208E">
      <w:pPr>
        <w:rPr>
          <w:rFonts w:ascii="Arial" w:hAnsi="Arial" w:cs="Arial"/>
          <w:sz w:val="22"/>
          <w:szCs w:val="20"/>
        </w:rPr>
      </w:pPr>
      <w:r w:rsidRPr="00285BE6">
        <w:rPr>
          <w:rFonts w:ascii="Arial" w:hAnsi="Arial" w:cs="Arial"/>
          <w:sz w:val="22"/>
          <w:szCs w:val="20"/>
        </w:rPr>
        <w:t xml:space="preserve">4. </w:t>
      </w:r>
      <w:r w:rsidRPr="00285BE6">
        <w:rPr>
          <w:rFonts w:ascii="Arial" w:hAnsi="Arial" w:cs="Arial"/>
          <w:b/>
          <w:sz w:val="22"/>
          <w:szCs w:val="20"/>
        </w:rPr>
        <w:t>CONDICIONES GENERALES:</w:t>
      </w:r>
      <w:r w:rsidRPr="00285BE6">
        <w:rPr>
          <w:rFonts w:ascii="Arial" w:hAnsi="Arial" w:cs="Arial"/>
          <w:sz w:val="22"/>
          <w:szCs w:val="20"/>
        </w:rPr>
        <w:t xml:space="preserve"> </w:t>
      </w:r>
    </w:p>
    <w:p w14:paraId="51677C9D" w14:textId="77777777" w:rsidR="008A0C55" w:rsidRPr="00285BE6" w:rsidRDefault="008A0C55" w:rsidP="00D3208E">
      <w:pPr>
        <w:rPr>
          <w:rFonts w:ascii="Arial" w:hAnsi="Arial" w:cs="Arial"/>
          <w:sz w:val="22"/>
          <w:szCs w:val="20"/>
        </w:rPr>
      </w:pPr>
    </w:p>
    <w:p w14:paraId="0A1431C7" w14:textId="77777777" w:rsidR="00C768A0" w:rsidRPr="00BD515F" w:rsidRDefault="00C768A0" w:rsidP="00BD515F">
      <w:pPr>
        <w:pStyle w:val="Prrafodelista"/>
        <w:numPr>
          <w:ilvl w:val="0"/>
          <w:numId w:val="20"/>
        </w:numPr>
        <w:ind w:left="709"/>
        <w:jc w:val="both"/>
        <w:rPr>
          <w:rFonts w:ascii="Arial" w:hAnsi="Arial" w:cs="Arial"/>
          <w:sz w:val="22"/>
          <w:szCs w:val="20"/>
        </w:rPr>
      </w:pPr>
      <w:r w:rsidRPr="00BD515F">
        <w:rPr>
          <w:rFonts w:ascii="Arial" w:hAnsi="Arial" w:cs="Arial"/>
          <w:sz w:val="22"/>
          <w:szCs w:val="20"/>
        </w:rPr>
        <w:t>La Gran Encuesta Integrada de Hogares (GEIH) tiene como objetivo proveer información estadística relacionada con mercado laboral, ingresos y pobreza monetaria, así como de las características sociodemográficas de la población residente en Colombia. A través de la encuesta se clasifica a las personas según su fuerza de trabajo como población ocupada, desocupada o población fuera de la fuerza de trabajo. De esta forma, es posible estimar los principales indicadores del mercado laboral colombiano, como son la Tasa Global de Participación (TGP), la Tasa de Ocupación (TO) y la Tasa de Desocupación (TD).</w:t>
      </w:r>
    </w:p>
    <w:p w14:paraId="6D47E438" w14:textId="77777777" w:rsidR="00C768A0" w:rsidRPr="00C768A0" w:rsidRDefault="00C768A0" w:rsidP="00BD515F">
      <w:pPr>
        <w:ind w:left="709"/>
        <w:jc w:val="both"/>
        <w:rPr>
          <w:rFonts w:ascii="Arial" w:hAnsi="Arial" w:cs="Arial"/>
          <w:sz w:val="22"/>
          <w:szCs w:val="20"/>
        </w:rPr>
      </w:pPr>
    </w:p>
    <w:p w14:paraId="54B9CCBC" w14:textId="77777777" w:rsidR="00C768A0" w:rsidRPr="00BD515F" w:rsidRDefault="00C768A0" w:rsidP="00BD515F">
      <w:pPr>
        <w:pStyle w:val="Prrafodelista"/>
        <w:numPr>
          <w:ilvl w:val="0"/>
          <w:numId w:val="20"/>
        </w:numPr>
        <w:spacing w:line="259" w:lineRule="auto"/>
        <w:ind w:left="709"/>
        <w:jc w:val="both"/>
        <w:rPr>
          <w:rFonts w:ascii="Arial" w:hAnsi="Arial" w:cs="Arial"/>
          <w:color w:val="000000" w:themeColor="text1"/>
          <w:sz w:val="22"/>
          <w:szCs w:val="20"/>
        </w:rPr>
      </w:pPr>
      <w:r w:rsidRPr="00BD515F">
        <w:rPr>
          <w:rFonts w:ascii="Arial" w:hAnsi="Arial" w:cs="Arial"/>
          <w:sz w:val="22"/>
          <w:szCs w:val="20"/>
        </w:rPr>
        <w:t xml:space="preserve">La GEIH </w:t>
      </w:r>
      <w:r w:rsidRPr="00BD515F">
        <w:rPr>
          <w:rFonts w:ascii="Arial" w:hAnsi="Arial" w:cs="Arial"/>
          <w:color w:val="000000" w:themeColor="text1"/>
          <w:sz w:val="22"/>
          <w:szCs w:val="20"/>
        </w:rPr>
        <w:t>Se trata de una investigación continua, que se aplica en todo el territorio nacional y que permite la desagregación de resultados para el total nacional, total cabeceras, total centros poblados y rural disperso, cada una de las 23 ciudades capitales y áreas metropolitanas.</w:t>
      </w:r>
    </w:p>
    <w:p w14:paraId="18DEC321" w14:textId="77777777" w:rsidR="00C768A0" w:rsidRDefault="00C768A0" w:rsidP="00BD515F">
      <w:pPr>
        <w:spacing w:line="259" w:lineRule="auto"/>
        <w:ind w:left="709"/>
        <w:jc w:val="both"/>
        <w:rPr>
          <w:rFonts w:ascii="Arial" w:hAnsi="Arial" w:cs="Arial"/>
          <w:color w:val="000000" w:themeColor="text1"/>
          <w:sz w:val="22"/>
          <w:szCs w:val="20"/>
        </w:rPr>
      </w:pPr>
    </w:p>
    <w:p w14:paraId="0BE6103F" w14:textId="73F85B35" w:rsidR="00C768A0" w:rsidRDefault="00C768A0" w:rsidP="00BD515F">
      <w:pPr>
        <w:pStyle w:val="Prrafodelista"/>
        <w:numPr>
          <w:ilvl w:val="0"/>
          <w:numId w:val="20"/>
        </w:numPr>
        <w:spacing w:line="259" w:lineRule="auto"/>
        <w:ind w:left="709"/>
        <w:jc w:val="both"/>
        <w:rPr>
          <w:rFonts w:ascii="Arial" w:hAnsi="Arial" w:cs="Arial"/>
          <w:color w:val="000000" w:themeColor="text1"/>
          <w:sz w:val="22"/>
          <w:szCs w:val="20"/>
        </w:rPr>
      </w:pPr>
      <w:r w:rsidRPr="00BD515F">
        <w:rPr>
          <w:rFonts w:ascii="Arial" w:hAnsi="Arial" w:cs="Arial"/>
          <w:color w:val="000000" w:themeColor="text1"/>
          <w:sz w:val="22"/>
          <w:szCs w:val="20"/>
        </w:rPr>
        <w:t xml:space="preserve">Los datos de los indicadores son presentados para Manizales como área Metropolitana con </w:t>
      </w:r>
      <w:r w:rsidR="00E40E8A" w:rsidRPr="00BD515F">
        <w:rPr>
          <w:rFonts w:ascii="Arial" w:hAnsi="Arial" w:cs="Arial"/>
          <w:color w:val="000000" w:themeColor="text1"/>
          <w:sz w:val="22"/>
          <w:szCs w:val="20"/>
        </w:rPr>
        <w:t>Villamaría</w:t>
      </w:r>
      <w:r w:rsidRPr="00BD515F">
        <w:rPr>
          <w:rFonts w:ascii="Arial" w:hAnsi="Arial" w:cs="Arial"/>
          <w:color w:val="000000" w:themeColor="text1"/>
          <w:sz w:val="22"/>
          <w:szCs w:val="20"/>
        </w:rPr>
        <w:t xml:space="preserve">, </w:t>
      </w:r>
      <w:r w:rsidR="002117E5" w:rsidRPr="00BD515F">
        <w:rPr>
          <w:rFonts w:ascii="Arial" w:hAnsi="Arial" w:cs="Arial"/>
          <w:color w:val="000000" w:themeColor="text1"/>
          <w:sz w:val="22"/>
          <w:szCs w:val="20"/>
        </w:rPr>
        <w:t>los análisis básicos del mercado laboral que se deben realizar están centrados en género, edad, nivel educativo, actividad económica e informalidad.</w:t>
      </w:r>
    </w:p>
    <w:p w14:paraId="164003AB" w14:textId="77777777" w:rsidR="00D14720" w:rsidRPr="00D14720" w:rsidRDefault="00D14720" w:rsidP="00D14720">
      <w:pPr>
        <w:pStyle w:val="Prrafodelista"/>
        <w:rPr>
          <w:rFonts w:ascii="Arial" w:hAnsi="Arial" w:cs="Arial"/>
          <w:color w:val="000000" w:themeColor="text1"/>
          <w:sz w:val="22"/>
          <w:szCs w:val="20"/>
        </w:rPr>
      </w:pPr>
    </w:p>
    <w:p w14:paraId="0A450E3D" w14:textId="4AAE502A" w:rsidR="00D14720" w:rsidRPr="00BD515F" w:rsidRDefault="00D14720" w:rsidP="00BD515F">
      <w:pPr>
        <w:pStyle w:val="Prrafodelista"/>
        <w:numPr>
          <w:ilvl w:val="0"/>
          <w:numId w:val="20"/>
        </w:numPr>
        <w:spacing w:line="259" w:lineRule="auto"/>
        <w:ind w:left="709"/>
        <w:jc w:val="both"/>
        <w:rPr>
          <w:rFonts w:ascii="Arial" w:hAnsi="Arial" w:cs="Arial"/>
          <w:color w:val="000000" w:themeColor="text1"/>
          <w:sz w:val="22"/>
          <w:szCs w:val="20"/>
        </w:rPr>
      </w:pPr>
      <w:r>
        <w:rPr>
          <w:rFonts w:ascii="Arial" w:hAnsi="Arial" w:cs="Arial"/>
          <w:color w:val="000000" w:themeColor="text1"/>
          <w:sz w:val="22"/>
          <w:szCs w:val="20"/>
        </w:rPr>
        <w:lastRenderedPageBreak/>
        <w:t>La TD se debe analizar también con la TGP, para definir si la desocupación se debe a p</w:t>
      </w:r>
      <w:r w:rsidR="006B65BE">
        <w:rPr>
          <w:rFonts w:ascii="Arial" w:hAnsi="Arial" w:cs="Arial"/>
          <w:color w:val="000000" w:themeColor="text1"/>
          <w:sz w:val="22"/>
          <w:szCs w:val="20"/>
        </w:rPr>
        <w:t>é</w:t>
      </w:r>
      <w:r>
        <w:rPr>
          <w:rFonts w:ascii="Arial" w:hAnsi="Arial" w:cs="Arial"/>
          <w:color w:val="000000" w:themeColor="text1"/>
          <w:sz w:val="22"/>
          <w:szCs w:val="20"/>
        </w:rPr>
        <w:t>rdid</w:t>
      </w:r>
      <w:r w:rsidR="006B65BE">
        <w:rPr>
          <w:rFonts w:ascii="Arial" w:hAnsi="Arial" w:cs="Arial"/>
          <w:color w:val="000000" w:themeColor="text1"/>
          <w:sz w:val="22"/>
          <w:szCs w:val="20"/>
        </w:rPr>
        <w:t>a</w:t>
      </w:r>
      <w:r>
        <w:rPr>
          <w:rFonts w:ascii="Arial" w:hAnsi="Arial" w:cs="Arial"/>
          <w:color w:val="000000" w:themeColor="text1"/>
          <w:sz w:val="22"/>
          <w:szCs w:val="20"/>
        </w:rPr>
        <w:t xml:space="preserve"> de empleos o a la perdida de presión al mercado laboral por disminución de la FT</w:t>
      </w:r>
    </w:p>
    <w:p w14:paraId="6586BCEA" w14:textId="77777777" w:rsidR="00803A18" w:rsidRPr="00803A18" w:rsidRDefault="00803A18" w:rsidP="00C768A0">
      <w:pPr>
        <w:pStyle w:val="Textoindependiente"/>
        <w:spacing w:line="259" w:lineRule="auto"/>
        <w:jc w:val="both"/>
        <w:rPr>
          <w:rFonts w:ascii="Arial" w:hAnsi="Arial" w:cs="Arial"/>
          <w:sz w:val="22"/>
          <w:szCs w:val="20"/>
        </w:rPr>
      </w:pPr>
    </w:p>
    <w:p w14:paraId="712071D4" w14:textId="77777777" w:rsidR="008D32F1" w:rsidRPr="00285BE6" w:rsidRDefault="008D32F1" w:rsidP="009B1F48">
      <w:pPr>
        <w:pStyle w:val="Textoindependiente"/>
        <w:spacing w:line="259" w:lineRule="auto"/>
        <w:jc w:val="both"/>
        <w:rPr>
          <w:rFonts w:ascii="Arial" w:hAnsi="Arial" w:cs="Arial"/>
          <w:color w:val="000000" w:themeColor="text1"/>
          <w:sz w:val="22"/>
          <w:szCs w:val="20"/>
        </w:rPr>
      </w:pPr>
    </w:p>
    <w:p w14:paraId="6EFDBF1D" w14:textId="77777777" w:rsidR="00D3208E" w:rsidRPr="00285BE6" w:rsidRDefault="00D3208E" w:rsidP="00595B66">
      <w:pPr>
        <w:pStyle w:val="Textoindependiente"/>
        <w:spacing w:before="4"/>
        <w:jc w:val="both"/>
        <w:rPr>
          <w:rFonts w:ascii="Arial" w:hAnsi="Arial" w:cs="Arial"/>
          <w:bCs/>
          <w:color w:val="000000" w:themeColor="text1"/>
          <w:sz w:val="22"/>
          <w:szCs w:val="20"/>
        </w:rPr>
      </w:pPr>
    </w:p>
    <w:p w14:paraId="7B37E7DB" w14:textId="55575F61" w:rsidR="009D4B3A" w:rsidRPr="00285BE6" w:rsidRDefault="00D3208E" w:rsidP="000575B6">
      <w:pPr>
        <w:pStyle w:val="Prrafodelista"/>
        <w:numPr>
          <w:ilvl w:val="0"/>
          <w:numId w:val="11"/>
        </w:numPr>
        <w:ind w:left="426"/>
        <w:rPr>
          <w:rFonts w:ascii="Arial" w:hAnsi="Arial" w:cs="Arial"/>
          <w:b/>
          <w:sz w:val="22"/>
          <w:szCs w:val="20"/>
        </w:rPr>
      </w:pPr>
      <w:r w:rsidRPr="00285BE6">
        <w:rPr>
          <w:rFonts w:ascii="Arial" w:hAnsi="Arial" w:cs="Arial"/>
          <w:b/>
          <w:sz w:val="22"/>
          <w:szCs w:val="20"/>
        </w:rPr>
        <w:t xml:space="preserve">DEFINICIONES: </w:t>
      </w:r>
    </w:p>
    <w:p w14:paraId="014A4129" w14:textId="77777777" w:rsidR="000575B6" w:rsidRPr="00285BE6" w:rsidRDefault="000575B6" w:rsidP="000575B6">
      <w:pPr>
        <w:pStyle w:val="Prrafodelista"/>
        <w:ind w:left="720"/>
        <w:rPr>
          <w:rFonts w:ascii="Arial" w:hAnsi="Arial" w:cs="Arial"/>
          <w:b/>
          <w:sz w:val="22"/>
          <w:szCs w:val="20"/>
        </w:rPr>
      </w:pPr>
    </w:p>
    <w:p w14:paraId="4513D265" w14:textId="522420E9" w:rsidR="00E76009" w:rsidRPr="00E76009" w:rsidRDefault="00E76009" w:rsidP="0007296B">
      <w:pPr>
        <w:pStyle w:val="Prrafodelista"/>
        <w:numPr>
          <w:ilvl w:val="0"/>
          <w:numId w:val="9"/>
        </w:numPr>
        <w:spacing w:after="160" w:line="256" w:lineRule="auto"/>
        <w:contextualSpacing/>
        <w:jc w:val="both"/>
        <w:rPr>
          <w:rFonts w:ascii="Arial" w:hAnsi="Arial" w:cs="Arial"/>
          <w:bCs/>
          <w:sz w:val="22"/>
          <w:szCs w:val="22"/>
        </w:rPr>
      </w:pPr>
      <w:r w:rsidRPr="00E76009">
        <w:rPr>
          <w:rFonts w:ascii="Arial" w:hAnsi="Arial" w:cs="Arial"/>
          <w:b/>
          <w:sz w:val="22"/>
          <w:szCs w:val="22"/>
        </w:rPr>
        <w:t>Área Metropolitana (A.M):</w:t>
      </w:r>
      <w:r w:rsidRPr="00E76009">
        <w:rPr>
          <w:rFonts w:ascii="Arial" w:hAnsi="Arial" w:cs="Arial"/>
          <w:bCs/>
          <w:sz w:val="22"/>
          <w:szCs w:val="22"/>
        </w:rPr>
        <w:t xml:space="preserve"> se define como el área de influencia que incluye municipios circundantes, que con la ciudad conforman un solo tejido urbano no discontinuo y han sido reconocidos legalmente</w:t>
      </w:r>
      <w:r>
        <w:rPr>
          <w:rFonts w:ascii="Arial" w:hAnsi="Arial" w:cs="Arial"/>
          <w:bCs/>
          <w:sz w:val="22"/>
          <w:szCs w:val="22"/>
        </w:rPr>
        <w:t>, para el caso de Manizales incluye Villamaría.</w:t>
      </w:r>
    </w:p>
    <w:p w14:paraId="050C5669" w14:textId="783FDD25" w:rsidR="00714A40" w:rsidRPr="00E76009" w:rsidRDefault="00714A40" w:rsidP="00E25BF0">
      <w:pPr>
        <w:pStyle w:val="Prrafodelista"/>
        <w:numPr>
          <w:ilvl w:val="0"/>
          <w:numId w:val="9"/>
        </w:numPr>
        <w:spacing w:after="160" w:line="256" w:lineRule="auto"/>
        <w:contextualSpacing/>
        <w:jc w:val="both"/>
        <w:rPr>
          <w:rFonts w:ascii="Arial" w:hAnsi="Arial" w:cs="Arial"/>
          <w:bCs/>
          <w:sz w:val="22"/>
          <w:szCs w:val="22"/>
        </w:rPr>
      </w:pPr>
      <w:r w:rsidRPr="00E76009">
        <w:rPr>
          <w:rFonts w:ascii="Arial" w:hAnsi="Arial" w:cs="Arial"/>
          <w:b/>
          <w:sz w:val="22"/>
          <w:szCs w:val="22"/>
        </w:rPr>
        <w:t xml:space="preserve">Población total (PT): </w:t>
      </w:r>
      <w:r w:rsidRPr="00E76009">
        <w:rPr>
          <w:rFonts w:ascii="Arial" w:hAnsi="Arial" w:cs="Arial"/>
          <w:bCs/>
          <w:sz w:val="22"/>
          <w:szCs w:val="22"/>
        </w:rPr>
        <w:t>Se estima por proyecciones con base en los resultados de los censos de población.</w:t>
      </w:r>
    </w:p>
    <w:p w14:paraId="71D6446A" w14:textId="7E9CC0AC" w:rsidR="00714A40" w:rsidRDefault="00714A40" w:rsidP="00714A40">
      <w:pPr>
        <w:pStyle w:val="Prrafodelista"/>
        <w:numPr>
          <w:ilvl w:val="0"/>
          <w:numId w:val="9"/>
        </w:numPr>
        <w:spacing w:after="160" w:line="256" w:lineRule="auto"/>
        <w:contextualSpacing/>
        <w:jc w:val="both"/>
        <w:rPr>
          <w:rFonts w:ascii="Arial" w:hAnsi="Arial" w:cs="Arial"/>
          <w:bCs/>
          <w:sz w:val="22"/>
        </w:rPr>
      </w:pPr>
      <w:r w:rsidRPr="00714A40">
        <w:rPr>
          <w:rFonts w:ascii="Arial" w:hAnsi="Arial" w:cs="Arial"/>
          <w:b/>
          <w:sz w:val="22"/>
        </w:rPr>
        <w:t>Población en edad de trabajar (PET):</w:t>
      </w:r>
      <w:r w:rsidRPr="00714A40">
        <w:rPr>
          <w:rFonts w:ascii="Arial" w:hAnsi="Arial" w:cs="Arial"/>
          <w:bCs/>
          <w:sz w:val="20"/>
          <w:szCs w:val="22"/>
        </w:rPr>
        <w:t xml:space="preserve"> </w:t>
      </w:r>
      <w:r w:rsidRPr="00714A40">
        <w:rPr>
          <w:rFonts w:ascii="Arial" w:hAnsi="Arial" w:cs="Arial"/>
          <w:bCs/>
          <w:sz w:val="22"/>
        </w:rPr>
        <w:t>está constituida por las personas de 12 y más promedios en la parte urbana y de 10 promedios y más en la parte rural.</w:t>
      </w:r>
    </w:p>
    <w:p w14:paraId="7C20182F" w14:textId="4B73A54B" w:rsidR="00714A40" w:rsidRDefault="00714A40" w:rsidP="00244EE2">
      <w:pPr>
        <w:pStyle w:val="Prrafodelista"/>
        <w:numPr>
          <w:ilvl w:val="0"/>
          <w:numId w:val="9"/>
        </w:numPr>
        <w:spacing w:after="160" w:line="256" w:lineRule="auto"/>
        <w:contextualSpacing/>
        <w:jc w:val="both"/>
        <w:rPr>
          <w:rFonts w:ascii="Arial" w:hAnsi="Arial" w:cs="Arial"/>
          <w:bCs/>
          <w:sz w:val="22"/>
        </w:rPr>
      </w:pPr>
      <w:r w:rsidRPr="00806485">
        <w:rPr>
          <w:rFonts w:ascii="Arial" w:hAnsi="Arial" w:cs="Arial"/>
          <w:b/>
          <w:sz w:val="22"/>
        </w:rPr>
        <w:t>Fuerza de Trabajo (FT):</w:t>
      </w:r>
      <w:r w:rsidRPr="00806485">
        <w:rPr>
          <w:rFonts w:ascii="Arial" w:hAnsi="Arial" w:cs="Arial"/>
          <w:bCs/>
          <w:sz w:val="22"/>
        </w:rPr>
        <w:t xml:space="preserve"> son las personas en edad de trabajar</w:t>
      </w:r>
      <w:r w:rsidR="00EF7CEB">
        <w:rPr>
          <w:rFonts w:ascii="Arial" w:hAnsi="Arial" w:cs="Arial"/>
          <w:bCs/>
          <w:sz w:val="22"/>
        </w:rPr>
        <w:t xml:space="preserve"> mayores de 15 años</w:t>
      </w:r>
      <w:r w:rsidRPr="00806485">
        <w:rPr>
          <w:rFonts w:ascii="Arial" w:hAnsi="Arial" w:cs="Arial"/>
          <w:bCs/>
          <w:sz w:val="22"/>
        </w:rPr>
        <w:t>, que trabajan o están buscando empleo. Esta población se divide en</w:t>
      </w:r>
      <w:r w:rsidR="00806485" w:rsidRPr="00806485">
        <w:rPr>
          <w:rFonts w:ascii="Arial" w:hAnsi="Arial" w:cs="Arial"/>
          <w:bCs/>
          <w:sz w:val="22"/>
        </w:rPr>
        <w:t xml:space="preserve"> se divide en Ocupados y Desocupados. Las personas Ocupadas (O) son aquellas que trabajaron al menos una hora y recibieron una remuneración durante esa semana, aquellos que tenían un trabajo, pero no trabajaron durante esa semana, y también incluye a los trabajadores que no recibieron una remuneración, pero trabajaron al menos una hora durante la semana de referencia. Por otro lado, las personas Desocupadas (D) son aquellas que cumplen con una de estas condiciones: no tienen empleo durante la semana de referencia, realizaron gestiones para encontrar trabajo en el último mes y están disponibles para trabajar (desempleo abierto); o no buscaron trabajo en el último mes, pero lo buscaron en los últimos 12 meses, tienen una razón válida de desaliento y están disponibles para trabajar (desempleo oculto</w:t>
      </w:r>
      <w:r w:rsidR="00806485">
        <w:rPr>
          <w:rFonts w:ascii="Arial" w:hAnsi="Arial" w:cs="Arial"/>
          <w:bCs/>
          <w:sz w:val="22"/>
        </w:rPr>
        <w:t>).</w:t>
      </w:r>
    </w:p>
    <w:p w14:paraId="77751063" w14:textId="30D37AE5" w:rsidR="00E76009" w:rsidRPr="00E76009" w:rsidRDefault="00BD515F" w:rsidP="00CA5136">
      <w:pPr>
        <w:pStyle w:val="Prrafodelista"/>
        <w:numPr>
          <w:ilvl w:val="0"/>
          <w:numId w:val="9"/>
        </w:numPr>
        <w:spacing w:after="160" w:line="256" w:lineRule="auto"/>
        <w:contextualSpacing/>
        <w:jc w:val="both"/>
        <w:rPr>
          <w:rFonts w:ascii="Arial" w:hAnsi="Arial" w:cs="Arial"/>
          <w:bCs/>
          <w:sz w:val="22"/>
        </w:rPr>
      </w:pPr>
      <w:r w:rsidRPr="00E76009">
        <w:rPr>
          <w:rFonts w:ascii="Arial" w:hAnsi="Arial" w:cs="Arial"/>
          <w:b/>
          <w:sz w:val="22"/>
        </w:rPr>
        <w:t xml:space="preserve">Población Fuera de la Fuerza </w:t>
      </w:r>
      <w:r w:rsidR="00E76009" w:rsidRPr="00E76009">
        <w:rPr>
          <w:rFonts w:ascii="Arial" w:hAnsi="Arial" w:cs="Arial"/>
          <w:b/>
          <w:sz w:val="22"/>
        </w:rPr>
        <w:t>de Trabajo (PFFT):</w:t>
      </w:r>
      <w:r w:rsidR="00E76009" w:rsidRPr="00E76009">
        <w:rPr>
          <w:rFonts w:ascii="Arial" w:hAnsi="Arial" w:cs="Arial"/>
          <w:bCs/>
          <w:sz w:val="22"/>
        </w:rPr>
        <w:t xml:space="preserve"> Comprende a todas las personas en edad de trabajar (15 años y más), que en la semana de referencia no participaron en la producción de bienes y servicios porque no lo necesitan, no pueden o no están interesadas en tener actividad remunerada. Este grupo se compone de las personas que</w:t>
      </w:r>
    </w:p>
    <w:p w14:paraId="0F7393C5" w14:textId="1B0DB75B" w:rsidR="00BD515F" w:rsidRPr="00E76009" w:rsidRDefault="00E76009" w:rsidP="001C2ED6">
      <w:pPr>
        <w:pStyle w:val="Prrafodelista"/>
        <w:spacing w:after="160" w:line="256" w:lineRule="auto"/>
        <w:ind w:left="720"/>
        <w:contextualSpacing/>
        <w:jc w:val="both"/>
        <w:rPr>
          <w:rFonts w:ascii="Arial" w:hAnsi="Arial" w:cs="Arial"/>
          <w:bCs/>
          <w:sz w:val="22"/>
        </w:rPr>
      </w:pPr>
      <w:r w:rsidRPr="00E76009">
        <w:rPr>
          <w:rFonts w:ascii="Arial" w:hAnsi="Arial" w:cs="Arial"/>
          <w:bCs/>
          <w:sz w:val="22"/>
        </w:rPr>
        <w:t>integran la fuerza de trabajo potencial y de las personas que son exclusivamente: Estudiantes, Personas dedicadas a oficios del hogar, Personas pensionadas, Personas jubiladas, Rentistas, Personas incapacitadas permanentemente para trabajar y Personas que no les</w:t>
      </w:r>
      <w:r>
        <w:rPr>
          <w:rFonts w:ascii="Arial" w:hAnsi="Arial" w:cs="Arial"/>
          <w:bCs/>
          <w:sz w:val="22"/>
        </w:rPr>
        <w:t xml:space="preserve"> </w:t>
      </w:r>
      <w:r w:rsidRPr="00E76009">
        <w:rPr>
          <w:rFonts w:ascii="Arial" w:hAnsi="Arial" w:cs="Arial"/>
          <w:bCs/>
          <w:sz w:val="22"/>
        </w:rPr>
        <w:t>llama la atención o creen que no vale la pena trabajar.</w:t>
      </w:r>
    </w:p>
    <w:p w14:paraId="0AE93231" w14:textId="77777777" w:rsidR="00806485" w:rsidRPr="001C2ED6" w:rsidRDefault="00806485" w:rsidP="00806485">
      <w:pPr>
        <w:pStyle w:val="Prrafodelista"/>
        <w:numPr>
          <w:ilvl w:val="0"/>
          <w:numId w:val="9"/>
        </w:numPr>
        <w:spacing w:after="160" w:line="256" w:lineRule="auto"/>
        <w:contextualSpacing/>
        <w:jc w:val="both"/>
        <w:rPr>
          <w:rFonts w:ascii="Arial" w:hAnsi="Arial" w:cs="Arial"/>
          <w:bCs/>
          <w:sz w:val="22"/>
        </w:rPr>
      </w:pPr>
      <w:r w:rsidRPr="001C2ED6">
        <w:rPr>
          <w:rFonts w:ascii="Arial" w:hAnsi="Arial" w:cs="Arial"/>
          <w:b/>
          <w:sz w:val="22"/>
        </w:rPr>
        <w:t>Tasa de ocupación (TO):</w:t>
      </w:r>
      <w:r w:rsidRPr="001C2ED6">
        <w:rPr>
          <w:rFonts w:ascii="Arial" w:hAnsi="Arial" w:cs="Arial"/>
          <w:bCs/>
          <w:sz w:val="22"/>
        </w:rPr>
        <w:t xml:space="preserve"> Es la relación porcentual entre la población ocupada y el número de personas que integran la población en edad de trabajar.</w:t>
      </w:r>
    </w:p>
    <w:p w14:paraId="77CA5FB2" w14:textId="654876CF" w:rsidR="00BD515F" w:rsidRPr="001C2ED6" w:rsidRDefault="00F3639C" w:rsidP="0081386B">
      <w:pPr>
        <w:pStyle w:val="Prrafodelista"/>
        <w:numPr>
          <w:ilvl w:val="0"/>
          <w:numId w:val="9"/>
        </w:numPr>
        <w:spacing w:after="160" w:line="256" w:lineRule="auto"/>
        <w:contextualSpacing/>
        <w:jc w:val="both"/>
        <w:rPr>
          <w:rFonts w:ascii="Arial" w:hAnsi="Arial" w:cs="Arial"/>
          <w:bCs/>
          <w:sz w:val="22"/>
        </w:rPr>
      </w:pPr>
      <w:r w:rsidRPr="001C2ED6">
        <w:rPr>
          <w:rFonts w:ascii="Arial" w:hAnsi="Arial" w:cs="Arial"/>
          <w:b/>
          <w:sz w:val="22"/>
        </w:rPr>
        <w:t xml:space="preserve">Tasa de </w:t>
      </w:r>
      <w:r w:rsidR="00BD515F" w:rsidRPr="001C2ED6">
        <w:rPr>
          <w:rFonts w:ascii="Arial" w:hAnsi="Arial" w:cs="Arial"/>
          <w:b/>
          <w:sz w:val="22"/>
        </w:rPr>
        <w:t>Desocupación</w:t>
      </w:r>
      <w:r w:rsidRPr="001C2ED6">
        <w:rPr>
          <w:rFonts w:ascii="Arial" w:hAnsi="Arial" w:cs="Arial"/>
          <w:b/>
          <w:sz w:val="22"/>
        </w:rPr>
        <w:t xml:space="preserve"> (TD):</w:t>
      </w:r>
      <w:r w:rsidRPr="001C2ED6">
        <w:rPr>
          <w:rFonts w:ascii="Arial" w:hAnsi="Arial" w:cs="Arial"/>
          <w:bCs/>
          <w:sz w:val="22"/>
        </w:rPr>
        <w:t xml:space="preserve"> Es la relación porcentual entre las personas desocupadas y el número de personas que integran la FT.</w:t>
      </w:r>
    </w:p>
    <w:p w14:paraId="133AAC69" w14:textId="3C8A5006" w:rsidR="00E25BF0" w:rsidRPr="00EF7CEB" w:rsidRDefault="002117E5" w:rsidP="001C2ED6">
      <w:pPr>
        <w:pStyle w:val="Prrafodelista"/>
        <w:numPr>
          <w:ilvl w:val="0"/>
          <w:numId w:val="9"/>
        </w:numPr>
        <w:spacing w:after="160" w:line="256" w:lineRule="auto"/>
        <w:contextualSpacing/>
        <w:jc w:val="both"/>
        <w:rPr>
          <w:rFonts w:ascii="Arial" w:hAnsi="Arial" w:cs="Arial"/>
          <w:sz w:val="20"/>
          <w:szCs w:val="22"/>
        </w:rPr>
      </w:pPr>
      <w:r w:rsidRPr="001C2ED6">
        <w:rPr>
          <w:rFonts w:ascii="Arial" w:hAnsi="Arial" w:cs="Arial"/>
          <w:b/>
          <w:sz w:val="22"/>
        </w:rPr>
        <w:t>Tasa global de participación</w:t>
      </w:r>
      <w:r w:rsidR="00714A40" w:rsidRPr="001C2ED6">
        <w:rPr>
          <w:rFonts w:ascii="Arial" w:hAnsi="Arial" w:cs="Arial"/>
          <w:b/>
          <w:sz w:val="22"/>
        </w:rPr>
        <w:t xml:space="preserve"> (TGP)</w:t>
      </w:r>
      <w:r w:rsidR="00E25BF0" w:rsidRPr="001C2ED6">
        <w:rPr>
          <w:rFonts w:ascii="Arial" w:hAnsi="Arial" w:cs="Arial"/>
          <w:b/>
          <w:sz w:val="22"/>
        </w:rPr>
        <w:t>:</w:t>
      </w:r>
      <w:r w:rsidR="00E25BF0" w:rsidRPr="001C2ED6">
        <w:rPr>
          <w:rFonts w:ascii="Arial" w:hAnsi="Arial" w:cs="Arial"/>
          <w:bCs/>
          <w:sz w:val="22"/>
        </w:rPr>
        <w:t xml:space="preserve"> </w:t>
      </w:r>
      <w:r w:rsidRPr="001C2ED6">
        <w:rPr>
          <w:rFonts w:ascii="Arial" w:hAnsi="Arial" w:cs="Arial"/>
          <w:bCs/>
          <w:sz w:val="22"/>
        </w:rPr>
        <w:t xml:space="preserve">Es la relación porcentual entre la población </w:t>
      </w:r>
      <w:r w:rsidR="001C2ED6" w:rsidRPr="001C2ED6">
        <w:rPr>
          <w:rFonts w:ascii="Arial" w:hAnsi="Arial" w:cs="Arial"/>
          <w:bCs/>
          <w:sz w:val="22"/>
        </w:rPr>
        <w:t>FT y</w:t>
      </w:r>
      <w:r w:rsidRPr="001C2ED6">
        <w:rPr>
          <w:rFonts w:ascii="Arial" w:hAnsi="Arial" w:cs="Arial"/>
          <w:bCs/>
          <w:sz w:val="22"/>
        </w:rPr>
        <w:t xml:space="preserve"> </w:t>
      </w:r>
      <w:r w:rsidR="00EF7CEB" w:rsidRPr="001C2ED6">
        <w:rPr>
          <w:rFonts w:ascii="Arial" w:hAnsi="Arial" w:cs="Arial"/>
          <w:bCs/>
          <w:sz w:val="22"/>
        </w:rPr>
        <w:t>el total de PET</w:t>
      </w:r>
      <w:r w:rsidRPr="001C2ED6">
        <w:rPr>
          <w:rFonts w:ascii="Arial" w:hAnsi="Arial" w:cs="Arial"/>
          <w:bCs/>
          <w:sz w:val="22"/>
        </w:rPr>
        <w:t>. Este indicador refleja la presión de la población sobre el mercado laboral</w:t>
      </w:r>
      <w:r w:rsidR="00EF7CEB" w:rsidRPr="001C2ED6">
        <w:rPr>
          <w:rFonts w:ascii="Arial" w:hAnsi="Arial" w:cs="Arial"/>
          <w:bCs/>
          <w:sz w:val="22"/>
        </w:rPr>
        <w:t>, donde una alta</w:t>
      </w:r>
      <w:r w:rsidR="00EF7CEB" w:rsidRPr="00EF7CEB">
        <w:rPr>
          <w:rFonts w:ascii="Arial" w:hAnsi="Arial" w:cs="Arial"/>
          <w:sz w:val="22"/>
        </w:rPr>
        <w:t xml:space="preserve"> tasa generalmente indica que una proporción significativa de la población en edad de trabajar está involucrada en la fuerza laboral. Esto puede ser un signo de una economía activa, pero también puede indicar una alta presión sobre el mercado laboral si la creación de empleo no puede mantenerse al día con la demanda de empleo.</w:t>
      </w:r>
    </w:p>
    <w:p w14:paraId="6BFCF90D" w14:textId="054041B5" w:rsidR="00E25BF0" w:rsidRDefault="00806485" w:rsidP="00BD515F">
      <w:pPr>
        <w:pStyle w:val="Prrafodelista"/>
        <w:numPr>
          <w:ilvl w:val="0"/>
          <w:numId w:val="9"/>
        </w:numPr>
        <w:spacing w:line="257" w:lineRule="auto"/>
        <w:contextualSpacing/>
        <w:jc w:val="both"/>
        <w:rPr>
          <w:rFonts w:ascii="Arial" w:hAnsi="Arial" w:cs="Arial"/>
          <w:bCs/>
          <w:sz w:val="22"/>
        </w:rPr>
      </w:pPr>
      <w:r w:rsidRPr="00BD515F">
        <w:rPr>
          <w:rFonts w:ascii="Arial" w:hAnsi="Arial" w:cs="Arial"/>
          <w:b/>
          <w:sz w:val="22"/>
        </w:rPr>
        <w:lastRenderedPageBreak/>
        <w:t>Tasa de subocupación (TS):</w:t>
      </w:r>
      <w:r w:rsidR="00BD515F" w:rsidRPr="00BD515F">
        <w:rPr>
          <w:rFonts w:ascii="Arial" w:hAnsi="Arial" w:cs="Arial"/>
          <w:b/>
          <w:sz w:val="22"/>
        </w:rPr>
        <w:t xml:space="preserve"> </w:t>
      </w:r>
      <w:r w:rsidR="00BD515F" w:rsidRPr="00BD515F">
        <w:rPr>
          <w:rFonts w:ascii="Arial" w:hAnsi="Arial" w:cs="Arial"/>
          <w:bCs/>
          <w:sz w:val="22"/>
        </w:rPr>
        <w:t>Es la relación porcentual de la población ocupada que manifestó querer y poder trabajar más horas a la semana y el número de personas que integran la fuerza laboral</w:t>
      </w:r>
      <w:r w:rsidR="00BD515F">
        <w:rPr>
          <w:rFonts w:ascii="Arial" w:hAnsi="Arial" w:cs="Arial"/>
          <w:bCs/>
          <w:sz w:val="22"/>
        </w:rPr>
        <w:t>.</w:t>
      </w:r>
    </w:p>
    <w:p w14:paraId="1F82B8B5" w14:textId="2A3AC6C2" w:rsidR="00E76009" w:rsidRDefault="00E76009" w:rsidP="00BD515F">
      <w:pPr>
        <w:pStyle w:val="Prrafodelista"/>
        <w:numPr>
          <w:ilvl w:val="0"/>
          <w:numId w:val="9"/>
        </w:numPr>
        <w:spacing w:line="257" w:lineRule="auto"/>
        <w:contextualSpacing/>
        <w:jc w:val="both"/>
        <w:rPr>
          <w:rFonts w:ascii="Arial" w:hAnsi="Arial" w:cs="Arial"/>
          <w:bCs/>
          <w:sz w:val="22"/>
        </w:rPr>
      </w:pPr>
      <w:r>
        <w:rPr>
          <w:rFonts w:ascii="Arial" w:hAnsi="Arial" w:cs="Arial"/>
          <w:b/>
          <w:sz w:val="22"/>
        </w:rPr>
        <w:t>Rama de Actividad Económica:</w:t>
      </w:r>
      <w:r>
        <w:rPr>
          <w:rFonts w:ascii="Arial" w:hAnsi="Arial" w:cs="Arial"/>
          <w:bCs/>
          <w:sz w:val="22"/>
        </w:rPr>
        <w:t xml:space="preserve"> </w:t>
      </w:r>
      <w:r w:rsidRPr="00E76009">
        <w:rPr>
          <w:rFonts w:ascii="Arial" w:hAnsi="Arial" w:cs="Arial"/>
          <w:bCs/>
          <w:sz w:val="22"/>
        </w:rPr>
        <w:t>Acción destinada a producir bienes y servicios para el mercado o el autoconsumo. El concepto como tal clasifica a las personas ocupadas de acuerdo con el tipo de producto o servicio que genera la empresa, negocio o institución donde desempeñan su trabajo principal</w:t>
      </w:r>
      <w:r>
        <w:rPr>
          <w:rFonts w:ascii="Arial" w:hAnsi="Arial" w:cs="Arial"/>
          <w:bCs/>
          <w:sz w:val="22"/>
        </w:rPr>
        <w:t>.</w:t>
      </w:r>
    </w:p>
    <w:p w14:paraId="736B03C0" w14:textId="19BA499A" w:rsidR="00E76009" w:rsidRDefault="00E76009" w:rsidP="00BD515F">
      <w:pPr>
        <w:pStyle w:val="Prrafodelista"/>
        <w:numPr>
          <w:ilvl w:val="0"/>
          <w:numId w:val="9"/>
        </w:numPr>
        <w:spacing w:line="257" w:lineRule="auto"/>
        <w:contextualSpacing/>
        <w:jc w:val="both"/>
        <w:rPr>
          <w:rFonts w:ascii="Arial" w:hAnsi="Arial" w:cs="Arial"/>
          <w:bCs/>
          <w:sz w:val="22"/>
        </w:rPr>
      </w:pPr>
      <w:r>
        <w:rPr>
          <w:rFonts w:ascii="Arial" w:hAnsi="Arial" w:cs="Arial"/>
          <w:b/>
          <w:sz w:val="22"/>
        </w:rPr>
        <w:t>Posición Ocupacional:</w:t>
      </w:r>
      <w:r>
        <w:rPr>
          <w:rFonts w:ascii="Arial" w:hAnsi="Arial" w:cs="Arial"/>
          <w:bCs/>
          <w:sz w:val="22"/>
        </w:rPr>
        <w:t xml:space="preserve"> </w:t>
      </w:r>
      <w:r w:rsidRPr="00E76009">
        <w:rPr>
          <w:rFonts w:ascii="Arial" w:hAnsi="Arial" w:cs="Arial"/>
          <w:bCs/>
          <w:sz w:val="22"/>
        </w:rPr>
        <w:t>Es la posición que la persona adquiere en el ejercicio de su trabajo, ya sea como asalariado, empleado doméstico, trabajador por cuenta propia, empleador o trabajador familiar sin remuneración.</w:t>
      </w:r>
    </w:p>
    <w:p w14:paraId="2DDE18F7" w14:textId="2B3BCD7B" w:rsidR="00DA7748" w:rsidRPr="00DA7748" w:rsidRDefault="00DA7748" w:rsidP="00DA7748">
      <w:pPr>
        <w:pStyle w:val="Prrafodelista"/>
        <w:numPr>
          <w:ilvl w:val="0"/>
          <w:numId w:val="9"/>
        </w:numPr>
        <w:spacing w:line="257" w:lineRule="auto"/>
        <w:contextualSpacing/>
        <w:jc w:val="both"/>
        <w:rPr>
          <w:rFonts w:ascii="Arial" w:hAnsi="Arial" w:cs="Arial"/>
          <w:bCs/>
          <w:sz w:val="22"/>
        </w:rPr>
      </w:pPr>
      <w:r>
        <w:rPr>
          <w:rFonts w:ascii="Arial" w:hAnsi="Arial" w:cs="Arial"/>
          <w:b/>
          <w:sz w:val="22"/>
        </w:rPr>
        <w:t>Informalidad:</w:t>
      </w:r>
      <w:r>
        <w:rPr>
          <w:rFonts w:ascii="Arial" w:hAnsi="Arial" w:cs="Arial"/>
          <w:bCs/>
          <w:sz w:val="22"/>
        </w:rPr>
        <w:t xml:space="preserve"> </w:t>
      </w:r>
      <w:r w:rsidRPr="00DA7748">
        <w:rPr>
          <w:rFonts w:ascii="Arial" w:hAnsi="Arial" w:cs="Arial"/>
          <w:bCs/>
          <w:sz w:val="22"/>
        </w:rPr>
        <w:t>Proporción de población ocupada informal</w:t>
      </w:r>
      <w:r>
        <w:rPr>
          <w:rFonts w:ascii="Arial" w:hAnsi="Arial" w:cs="Arial"/>
          <w:bCs/>
          <w:sz w:val="22"/>
        </w:rPr>
        <w:t xml:space="preserve">, para la GEIH </w:t>
      </w:r>
      <w:r w:rsidRPr="00DA7748">
        <w:rPr>
          <w:rFonts w:ascii="Arial" w:hAnsi="Arial" w:cs="Arial"/>
          <w:bCs/>
          <w:sz w:val="22"/>
        </w:rPr>
        <w:t>se mide teniendo</w:t>
      </w:r>
    </w:p>
    <w:p w14:paraId="19EA8BE4" w14:textId="062B4F5F" w:rsidR="00DA7748" w:rsidRDefault="00DA7748" w:rsidP="00DA7748">
      <w:pPr>
        <w:pStyle w:val="Prrafodelista"/>
        <w:spacing w:line="257" w:lineRule="auto"/>
        <w:ind w:left="720"/>
        <w:contextualSpacing/>
        <w:jc w:val="both"/>
        <w:rPr>
          <w:rFonts w:ascii="Arial" w:hAnsi="Arial" w:cs="Arial"/>
          <w:bCs/>
          <w:sz w:val="22"/>
        </w:rPr>
      </w:pPr>
      <w:r w:rsidRPr="00DA7748">
        <w:rPr>
          <w:rFonts w:ascii="Arial" w:hAnsi="Arial" w:cs="Arial"/>
          <w:bCs/>
          <w:sz w:val="22"/>
        </w:rPr>
        <w:t>en cuenta, tanto a la empresa (sector) para los independientes, como la condición del puesto de trabajo para asalariados. También son ocupados Informales, por definición, todos los Trabajadores sin remuneración y la categoría</w:t>
      </w:r>
      <w:r>
        <w:rPr>
          <w:rFonts w:ascii="Arial" w:hAnsi="Arial" w:cs="Arial"/>
          <w:bCs/>
          <w:sz w:val="22"/>
        </w:rPr>
        <w:t xml:space="preserve"> </w:t>
      </w:r>
      <w:r w:rsidRPr="00DA7748">
        <w:rPr>
          <w:rFonts w:ascii="Arial" w:hAnsi="Arial" w:cs="Arial"/>
          <w:bCs/>
          <w:sz w:val="22"/>
        </w:rPr>
        <w:t>“Otro”.</w:t>
      </w:r>
    </w:p>
    <w:p w14:paraId="3A1077CC" w14:textId="629F2681" w:rsidR="00DA7748" w:rsidRDefault="00DA7748" w:rsidP="0029524A">
      <w:pPr>
        <w:pStyle w:val="Prrafodelista"/>
        <w:spacing w:line="257" w:lineRule="auto"/>
        <w:ind w:left="720"/>
        <w:contextualSpacing/>
        <w:jc w:val="both"/>
        <w:rPr>
          <w:rFonts w:ascii="Arial" w:hAnsi="Arial" w:cs="Arial"/>
          <w:bCs/>
          <w:sz w:val="22"/>
        </w:rPr>
      </w:pPr>
      <w:r>
        <w:rPr>
          <w:rFonts w:ascii="Arial" w:hAnsi="Arial" w:cs="Arial"/>
          <w:bCs/>
          <w:sz w:val="22"/>
        </w:rPr>
        <w:t>Juventud: Para la GEIH es la población comprendida entre los 15 y 28 años de edad, y se mide la TGP, TO y TD.</w:t>
      </w:r>
    </w:p>
    <w:p w14:paraId="4691FD1B" w14:textId="18195D32" w:rsidR="00C824F0" w:rsidRDefault="00C824F0" w:rsidP="00DA7748">
      <w:pPr>
        <w:pStyle w:val="Prrafodelista"/>
        <w:numPr>
          <w:ilvl w:val="0"/>
          <w:numId w:val="9"/>
        </w:numPr>
        <w:spacing w:line="257" w:lineRule="auto"/>
        <w:contextualSpacing/>
        <w:jc w:val="both"/>
        <w:rPr>
          <w:rFonts w:ascii="Arial" w:hAnsi="Arial" w:cs="Arial"/>
          <w:bCs/>
          <w:sz w:val="22"/>
        </w:rPr>
      </w:pPr>
      <w:r w:rsidRPr="00C824F0">
        <w:rPr>
          <w:rFonts w:ascii="Arial" w:hAnsi="Arial" w:cs="Arial"/>
          <w:b/>
          <w:sz w:val="22"/>
        </w:rPr>
        <w:t>Microdatos:</w:t>
      </w:r>
      <w:r>
        <w:rPr>
          <w:rFonts w:ascii="Arial" w:hAnsi="Arial" w:cs="Arial"/>
          <w:bCs/>
          <w:sz w:val="22"/>
        </w:rPr>
        <w:t xml:space="preserve"> </w:t>
      </w:r>
      <w:r w:rsidR="00793794">
        <w:rPr>
          <w:rFonts w:ascii="Arial" w:hAnsi="Arial" w:cs="Arial"/>
          <w:bCs/>
          <w:sz w:val="22"/>
        </w:rPr>
        <w:t>Son los datos sobre características de las unidades de estudio de una población, que se constituyen una unidad de información en una base de datos y que son recogidos por medio de una operación estadística. Estos datos</w:t>
      </w:r>
      <w:r>
        <w:rPr>
          <w:rFonts w:ascii="Arial" w:hAnsi="Arial" w:cs="Arial"/>
          <w:bCs/>
          <w:sz w:val="22"/>
        </w:rPr>
        <w:t xml:space="preserve"> son anonimizados para el uso p</w:t>
      </w:r>
      <w:r w:rsidR="0029524A">
        <w:rPr>
          <w:rFonts w:ascii="Arial" w:hAnsi="Arial" w:cs="Arial"/>
          <w:bCs/>
          <w:sz w:val="22"/>
        </w:rPr>
        <w:t>ú</w:t>
      </w:r>
      <w:r>
        <w:rPr>
          <w:rFonts w:ascii="Arial" w:hAnsi="Arial" w:cs="Arial"/>
          <w:bCs/>
          <w:sz w:val="22"/>
        </w:rPr>
        <w:t>bli</w:t>
      </w:r>
      <w:r w:rsidR="0029524A">
        <w:rPr>
          <w:rFonts w:ascii="Arial" w:hAnsi="Arial" w:cs="Arial"/>
          <w:bCs/>
          <w:sz w:val="22"/>
        </w:rPr>
        <w:t>co</w:t>
      </w:r>
      <w:r>
        <w:rPr>
          <w:rFonts w:ascii="Arial" w:hAnsi="Arial" w:cs="Arial"/>
          <w:bCs/>
          <w:sz w:val="22"/>
        </w:rPr>
        <w:t xml:space="preserve"> de carácter gratuito y disponibles en la </w:t>
      </w:r>
      <w:r w:rsidR="006D044F">
        <w:rPr>
          <w:rFonts w:ascii="Arial" w:hAnsi="Arial" w:cs="Arial"/>
          <w:bCs/>
          <w:sz w:val="22"/>
        </w:rPr>
        <w:t>página</w:t>
      </w:r>
      <w:r>
        <w:rPr>
          <w:rFonts w:ascii="Arial" w:hAnsi="Arial" w:cs="Arial"/>
          <w:bCs/>
          <w:sz w:val="22"/>
        </w:rPr>
        <w:t xml:space="preserve"> Web de DANE, se publican después del 15 de cada mes y son los cuales se procesan a través de programas estadísticos para realizar análisis detallados en sectores, genero, edad educación etc.</w:t>
      </w:r>
    </w:p>
    <w:p w14:paraId="5C61BD2F" w14:textId="26350E67" w:rsidR="00426266" w:rsidRPr="00DA7748" w:rsidRDefault="00426266" w:rsidP="00DA7748">
      <w:pPr>
        <w:pStyle w:val="Prrafodelista"/>
        <w:numPr>
          <w:ilvl w:val="0"/>
          <w:numId w:val="9"/>
        </w:numPr>
        <w:spacing w:line="257" w:lineRule="auto"/>
        <w:contextualSpacing/>
        <w:jc w:val="both"/>
        <w:rPr>
          <w:rFonts w:ascii="Arial" w:hAnsi="Arial" w:cs="Arial"/>
          <w:bCs/>
          <w:sz w:val="22"/>
        </w:rPr>
      </w:pPr>
      <w:r>
        <w:rPr>
          <w:rFonts w:ascii="Arial" w:hAnsi="Arial" w:cs="Arial"/>
          <w:b/>
          <w:sz w:val="22"/>
        </w:rPr>
        <w:t>Trimestre móvil:</w:t>
      </w:r>
      <w:r>
        <w:rPr>
          <w:rFonts w:ascii="Arial" w:hAnsi="Arial" w:cs="Arial"/>
          <w:bCs/>
          <w:sz w:val="22"/>
        </w:rPr>
        <w:t xml:space="preserve"> Es el</w:t>
      </w:r>
      <w:r w:rsidRPr="00426266">
        <w:rPr>
          <w:rFonts w:ascii="Arial" w:hAnsi="Arial" w:cs="Arial"/>
          <w:bCs/>
          <w:sz w:val="22"/>
        </w:rPr>
        <w:t xml:space="preserve"> agrupamiento de la muestra de tres meses consecutivos</w:t>
      </w:r>
      <w:r w:rsidR="006D044F">
        <w:rPr>
          <w:rFonts w:ascii="Arial" w:hAnsi="Arial" w:cs="Arial"/>
          <w:bCs/>
          <w:sz w:val="22"/>
        </w:rPr>
        <w:t>, el cual solo es comparable con el mismo periodo de tiempo de los años anteriores,</w:t>
      </w:r>
      <w:r w:rsidR="00344E25">
        <w:rPr>
          <w:rFonts w:ascii="Arial" w:hAnsi="Arial" w:cs="Arial"/>
          <w:bCs/>
          <w:sz w:val="22"/>
        </w:rPr>
        <w:t xml:space="preserve"> puesto</w:t>
      </w:r>
      <w:r w:rsidR="00344E25">
        <w:rPr>
          <w:rFonts w:ascii="Arial" w:hAnsi="Arial" w:cs="Arial"/>
          <w:bCs/>
          <w:sz w:val="22"/>
        </w:rPr>
        <w:tab/>
        <w:t>que se trata de un análisis de estacionalidad, para identificar hechos o fenómenos que puedan variar la medición de análisis del mercado laboral, lo cual permite tener muchos puntos de análisis en el año, por lo cual para un análisis de comparación se debe realizar con el mismo trimestre móvil establecido año tras año</w:t>
      </w:r>
      <w:r w:rsidR="006D044F">
        <w:rPr>
          <w:rFonts w:ascii="Arial" w:hAnsi="Arial" w:cs="Arial"/>
          <w:bCs/>
          <w:sz w:val="22"/>
        </w:rPr>
        <w:t xml:space="preserve"> </w:t>
      </w:r>
    </w:p>
    <w:p w14:paraId="129EF672" w14:textId="77777777" w:rsidR="009B6CEC" w:rsidRPr="00240FC6" w:rsidRDefault="009B6CEC" w:rsidP="00D3208E">
      <w:pPr>
        <w:jc w:val="both"/>
        <w:rPr>
          <w:rFonts w:ascii="Arial" w:hAnsi="Arial" w:cs="Arial"/>
          <w:sz w:val="20"/>
          <w:szCs w:val="20"/>
        </w:rPr>
      </w:pPr>
    </w:p>
    <w:p w14:paraId="77611C8C" w14:textId="1CCC4B30" w:rsidR="000575B6" w:rsidRPr="000575B6" w:rsidRDefault="00D3208E" w:rsidP="000575B6">
      <w:pPr>
        <w:pStyle w:val="Prrafodelista"/>
        <w:numPr>
          <w:ilvl w:val="0"/>
          <w:numId w:val="11"/>
        </w:numPr>
        <w:jc w:val="both"/>
        <w:rPr>
          <w:rFonts w:ascii="Arial" w:hAnsi="Arial" w:cs="Arial"/>
          <w:sz w:val="20"/>
          <w:szCs w:val="20"/>
        </w:rPr>
      </w:pPr>
      <w:r w:rsidRPr="000575B6">
        <w:rPr>
          <w:rFonts w:ascii="Arial" w:hAnsi="Arial" w:cs="Arial"/>
          <w:b/>
          <w:sz w:val="20"/>
          <w:szCs w:val="20"/>
        </w:rPr>
        <w:t>DOCUMENTACIÓN EXTERNA RELACIONADA:</w:t>
      </w:r>
      <w:r w:rsidRPr="000575B6">
        <w:rPr>
          <w:rFonts w:ascii="Arial" w:hAnsi="Arial" w:cs="Arial"/>
          <w:sz w:val="20"/>
          <w:szCs w:val="20"/>
        </w:rPr>
        <w:t xml:space="preserve"> </w:t>
      </w:r>
    </w:p>
    <w:p w14:paraId="44182B45" w14:textId="77777777" w:rsidR="00C824F0" w:rsidRPr="00C824F0" w:rsidRDefault="00C824F0" w:rsidP="00C824F0">
      <w:pPr>
        <w:pStyle w:val="Prrafodelista"/>
        <w:ind w:left="720"/>
        <w:jc w:val="both"/>
        <w:rPr>
          <w:rFonts w:ascii="Arial" w:hAnsi="Arial" w:cs="Arial"/>
          <w:sz w:val="20"/>
          <w:szCs w:val="20"/>
        </w:rPr>
      </w:pPr>
      <w:r w:rsidRPr="00C824F0">
        <w:rPr>
          <w:rFonts w:ascii="Arial" w:hAnsi="Arial" w:cs="Arial"/>
          <w:sz w:val="20"/>
          <w:szCs w:val="20"/>
        </w:rPr>
        <w:t>LEY 79 DE 1993</w:t>
      </w:r>
      <w:r>
        <w:rPr>
          <w:rFonts w:ascii="Arial" w:hAnsi="Arial" w:cs="Arial"/>
          <w:sz w:val="20"/>
          <w:szCs w:val="20"/>
        </w:rPr>
        <w:t xml:space="preserve"> </w:t>
      </w:r>
      <w:r w:rsidRPr="00C824F0">
        <w:rPr>
          <w:rFonts w:ascii="Arial" w:hAnsi="Arial" w:cs="Arial"/>
          <w:sz w:val="20"/>
          <w:szCs w:val="20"/>
        </w:rPr>
        <w:t>Por la cual se regula la realización de los censos de población y vivienda en todo el</w:t>
      </w:r>
    </w:p>
    <w:p w14:paraId="74BDB567" w14:textId="6E40D61F" w:rsidR="00C824F0" w:rsidRDefault="00C824F0" w:rsidP="00C824F0">
      <w:pPr>
        <w:pStyle w:val="Prrafodelista"/>
        <w:ind w:left="720"/>
        <w:jc w:val="both"/>
        <w:rPr>
          <w:rFonts w:ascii="Arial" w:hAnsi="Arial" w:cs="Arial"/>
          <w:sz w:val="20"/>
          <w:szCs w:val="20"/>
        </w:rPr>
      </w:pPr>
      <w:r w:rsidRPr="00C824F0">
        <w:rPr>
          <w:rFonts w:ascii="Arial" w:hAnsi="Arial" w:cs="Arial"/>
          <w:sz w:val="20"/>
          <w:szCs w:val="20"/>
        </w:rPr>
        <w:t>territorio nacional</w:t>
      </w:r>
    </w:p>
    <w:p w14:paraId="27226708" w14:textId="7DEBB040" w:rsidR="00C824F0" w:rsidRDefault="00C824F0" w:rsidP="00C824F0">
      <w:pPr>
        <w:pStyle w:val="Prrafodelista"/>
        <w:ind w:left="720"/>
        <w:jc w:val="both"/>
        <w:rPr>
          <w:rFonts w:ascii="Arial" w:hAnsi="Arial" w:cs="Arial"/>
          <w:sz w:val="20"/>
          <w:szCs w:val="20"/>
        </w:rPr>
      </w:pPr>
      <w:r>
        <w:rPr>
          <w:rFonts w:ascii="Arial" w:hAnsi="Arial" w:cs="Arial"/>
          <w:sz w:val="20"/>
          <w:szCs w:val="20"/>
        </w:rPr>
        <w:t xml:space="preserve">Resolución </w:t>
      </w:r>
      <w:r w:rsidR="0029524A">
        <w:rPr>
          <w:rFonts w:ascii="Arial" w:hAnsi="Arial" w:cs="Arial"/>
          <w:sz w:val="20"/>
          <w:szCs w:val="20"/>
        </w:rPr>
        <w:t>1503 de</w:t>
      </w:r>
      <w:r>
        <w:rPr>
          <w:rFonts w:ascii="Arial" w:hAnsi="Arial" w:cs="Arial"/>
          <w:sz w:val="20"/>
          <w:szCs w:val="20"/>
        </w:rPr>
        <w:t xml:space="preserve"> 2011</w:t>
      </w:r>
    </w:p>
    <w:p w14:paraId="20B6B862" w14:textId="5C8BA820" w:rsidR="000575B6" w:rsidRPr="000575B6" w:rsidRDefault="00C824F0" w:rsidP="000575B6">
      <w:pPr>
        <w:pStyle w:val="Prrafodelista"/>
        <w:ind w:left="720"/>
        <w:jc w:val="both"/>
        <w:rPr>
          <w:rFonts w:ascii="Arial" w:hAnsi="Arial" w:cs="Arial"/>
          <w:sz w:val="20"/>
          <w:szCs w:val="20"/>
        </w:rPr>
      </w:pPr>
      <w:r>
        <w:rPr>
          <w:rFonts w:ascii="Arial" w:hAnsi="Arial" w:cs="Arial"/>
          <w:sz w:val="20"/>
          <w:szCs w:val="20"/>
        </w:rPr>
        <w:t xml:space="preserve">Principales resultados de la GEIH del DANE, publicada mensualmente en </w:t>
      </w:r>
      <w:r w:rsidRPr="00C824F0">
        <w:rPr>
          <w:rFonts w:ascii="Arial" w:hAnsi="Arial" w:cs="Arial"/>
          <w:sz w:val="20"/>
          <w:szCs w:val="20"/>
        </w:rPr>
        <w:t>https://www.dane.gov.co/index.php/estadisticas-por-tema/mercado-laboral/empleo-y-desempleo</w:t>
      </w:r>
    </w:p>
    <w:p w14:paraId="6047C017" w14:textId="77777777" w:rsidR="001328EC" w:rsidRPr="00240FC6" w:rsidRDefault="001328EC" w:rsidP="00F515D0">
      <w:pPr>
        <w:jc w:val="both"/>
        <w:rPr>
          <w:rFonts w:ascii="Arial" w:hAnsi="Arial" w:cs="Arial"/>
          <w:sz w:val="20"/>
          <w:szCs w:val="20"/>
        </w:rPr>
      </w:pPr>
    </w:p>
    <w:p w14:paraId="4F2D7F32" w14:textId="7B8F5C9C" w:rsidR="00D3208E" w:rsidRPr="000575B6" w:rsidRDefault="00D3208E" w:rsidP="002F355C">
      <w:pPr>
        <w:pStyle w:val="Prrafodelista"/>
        <w:numPr>
          <w:ilvl w:val="0"/>
          <w:numId w:val="11"/>
        </w:numPr>
        <w:rPr>
          <w:rFonts w:ascii="Arial" w:hAnsi="Arial" w:cs="Arial"/>
          <w:sz w:val="20"/>
          <w:szCs w:val="20"/>
        </w:rPr>
      </w:pPr>
      <w:r w:rsidRPr="000575B6">
        <w:rPr>
          <w:rFonts w:ascii="Arial" w:hAnsi="Arial" w:cs="Arial"/>
          <w:b/>
          <w:sz w:val="20"/>
          <w:szCs w:val="20"/>
        </w:rPr>
        <w:t xml:space="preserve">DESARROLLO: </w:t>
      </w:r>
    </w:p>
    <w:p w14:paraId="45E0C60E" w14:textId="77777777" w:rsidR="000575B6" w:rsidRPr="000575B6" w:rsidRDefault="000575B6" w:rsidP="000575B6">
      <w:pPr>
        <w:pStyle w:val="Prrafodelista"/>
        <w:ind w:left="720"/>
        <w:rPr>
          <w:rFonts w:ascii="Arial" w:hAnsi="Arial" w:cs="Arial"/>
          <w:sz w:val="20"/>
          <w:szCs w:val="20"/>
        </w:rPr>
      </w:pPr>
    </w:p>
    <w:tbl>
      <w:tblPr>
        <w:tblW w:w="10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328"/>
        <w:gridCol w:w="2174"/>
        <w:gridCol w:w="4485"/>
      </w:tblGrid>
      <w:tr w:rsidR="00003A3D" w:rsidRPr="00240FC6" w14:paraId="105C94CE" w14:textId="77777777" w:rsidTr="001338B0">
        <w:trPr>
          <w:trHeight w:val="762"/>
        </w:trPr>
        <w:tc>
          <w:tcPr>
            <w:tcW w:w="2191" w:type="dxa"/>
            <w:shd w:val="clear" w:color="auto" w:fill="00B0F0"/>
          </w:tcPr>
          <w:p w14:paraId="1F7582B9" w14:textId="77777777" w:rsidR="00D3208E" w:rsidRPr="00240FC6" w:rsidRDefault="00D3208E" w:rsidP="001F4B8E">
            <w:pPr>
              <w:jc w:val="center"/>
              <w:rPr>
                <w:rFonts w:ascii="Arial" w:hAnsi="Arial" w:cs="Arial"/>
                <w:b/>
                <w:sz w:val="20"/>
                <w:szCs w:val="20"/>
              </w:rPr>
            </w:pPr>
          </w:p>
          <w:p w14:paraId="7A24B9B6" w14:textId="64C3BC38" w:rsidR="00D3208E" w:rsidRPr="00240FC6" w:rsidRDefault="00D3208E" w:rsidP="004C53E3">
            <w:pPr>
              <w:jc w:val="center"/>
              <w:rPr>
                <w:rFonts w:ascii="Arial" w:hAnsi="Arial" w:cs="Arial"/>
                <w:b/>
                <w:sz w:val="20"/>
                <w:szCs w:val="20"/>
              </w:rPr>
            </w:pPr>
            <w:r w:rsidRPr="00240FC6">
              <w:rPr>
                <w:rFonts w:ascii="Arial" w:hAnsi="Arial" w:cs="Arial"/>
                <w:b/>
                <w:sz w:val="20"/>
                <w:szCs w:val="20"/>
              </w:rPr>
              <w:t>QUÉ SE HACE</w:t>
            </w:r>
            <w:r w:rsidR="00BC4FCA" w:rsidRPr="00240FC6">
              <w:rPr>
                <w:rFonts w:ascii="Arial" w:hAnsi="Arial" w:cs="Arial"/>
                <w:b/>
                <w:sz w:val="20"/>
                <w:szCs w:val="20"/>
              </w:rPr>
              <w:t xml:space="preserve">: </w:t>
            </w:r>
          </w:p>
        </w:tc>
        <w:tc>
          <w:tcPr>
            <w:tcW w:w="1326" w:type="dxa"/>
            <w:shd w:val="clear" w:color="auto" w:fill="00B0F0"/>
          </w:tcPr>
          <w:p w14:paraId="6DF57865" w14:textId="77777777" w:rsidR="00D3208E" w:rsidRPr="00240FC6" w:rsidRDefault="00D3208E" w:rsidP="001F4B8E">
            <w:pPr>
              <w:jc w:val="center"/>
              <w:rPr>
                <w:rFonts w:ascii="Arial" w:hAnsi="Arial" w:cs="Arial"/>
                <w:b/>
                <w:sz w:val="20"/>
                <w:szCs w:val="20"/>
              </w:rPr>
            </w:pPr>
          </w:p>
          <w:p w14:paraId="3335C925" w14:textId="77777777" w:rsidR="00BC4FCA" w:rsidRPr="00240FC6" w:rsidRDefault="00D3208E" w:rsidP="001F4B8E">
            <w:pPr>
              <w:jc w:val="center"/>
              <w:rPr>
                <w:rFonts w:ascii="Arial" w:hAnsi="Arial" w:cs="Arial"/>
                <w:b/>
                <w:sz w:val="20"/>
                <w:szCs w:val="20"/>
              </w:rPr>
            </w:pPr>
            <w:r w:rsidRPr="00240FC6">
              <w:rPr>
                <w:rFonts w:ascii="Arial" w:hAnsi="Arial" w:cs="Arial"/>
                <w:b/>
                <w:sz w:val="20"/>
                <w:szCs w:val="20"/>
              </w:rPr>
              <w:t>QUIÉN LO HACE</w:t>
            </w:r>
          </w:p>
          <w:p w14:paraId="7D18AF80" w14:textId="4418AD53" w:rsidR="00D3208E" w:rsidRPr="00240FC6" w:rsidRDefault="00BC4FCA" w:rsidP="004C53E3">
            <w:pPr>
              <w:jc w:val="center"/>
              <w:rPr>
                <w:rFonts w:ascii="Arial" w:hAnsi="Arial" w:cs="Arial"/>
                <w:b/>
                <w:sz w:val="20"/>
                <w:szCs w:val="20"/>
              </w:rPr>
            </w:pPr>
            <w:r w:rsidRPr="00240FC6">
              <w:rPr>
                <w:rFonts w:ascii="Arial" w:hAnsi="Arial" w:cs="Arial"/>
                <w:b/>
                <w:sz w:val="20"/>
                <w:szCs w:val="20"/>
              </w:rPr>
              <w:t xml:space="preserve"> </w:t>
            </w:r>
          </w:p>
        </w:tc>
        <w:tc>
          <w:tcPr>
            <w:tcW w:w="2168" w:type="dxa"/>
            <w:shd w:val="clear" w:color="auto" w:fill="00B0F0"/>
          </w:tcPr>
          <w:p w14:paraId="3711C899" w14:textId="77777777" w:rsidR="00D3208E" w:rsidRPr="00240FC6" w:rsidRDefault="00D3208E" w:rsidP="001F4B8E">
            <w:pPr>
              <w:jc w:val="center"/>
              <w:rPr>
                <w:rFonts w:ascii="Arial" w:hAnsi="Arial" w:cs="Arial"/>
                <w:b/>
                <w:sz w:val="20"/>
                <w:szCs w:val="20"/>
              </w:rPr>
            </w:pPr>
          </w:p>
          <w:p w14:paraId="3AF7CC53" w14:textId="77777777" w:rsidR="00D80608" w:rsidRPr="00240FC6" w:rsidRDefault="00D3208E" w:rsidP="001F4B8E">
            <w:pPr>
              <w:jc w:val="center"/>
              <w:rPr>
                <w:rFonts w:ascii="Arial" w:hAnsi="Arial" w:cs="Arial"/>
                <w:b/>
                <w:sz w:val="20"/>
                <w:szCs w:val="20"/>
              </w:rPr>
            </w:pPr>
            <w:r w:rsidRPr="00240FC6">
              <w:rPr>
                <w:rFonts w:ascii="Arial" w:hAnsi="Arial" w:cs="Arial"/>
                <w:b/>
                <w:sz w:val="20"/>
                <w:szCs w:val="20"/>
              </w:rPr>
              <w:t>REGISTRO</w:t>
            </w:r>
            <w:r w:rsidR="00D80608" w:rsidRPr="00240FC6">
              <w:rPr>
                <w:rFonts w:ascii="Arial" w:hAnsi="Arial" w:cs="Arial"/>
                <w:b/>
                <w:sz w:val="20"/>
                <w:szCs w:val="20"/>
              </w:rPr>
              <w:t xml:space="preserve">: </w:t>
            </w:r>
          </w:p>
          <w:p w14:paraId="40495C3D" w14:textId="01BE2219" w:rsidR="00D3208E" w:rsidRPr="00240FC6" w:rsidRDefault="005C06F7" w:rsidP="005466AA">
            <w:pPr>
              <w:jc w:val="center"/>
              <w:rPr>
                <w:rFonts w:ascii="Arial" w:hAnsi="Arial" w:cs="Arial"/>
                <w:b/>
                <w:sz w:val="20"/>
                <w:szCs w:val="20"/>
              </w:rPr>
            </w:pPr>
            <w:r w:rsidRPr="00240FC6">
              <w:rPr>
                <w:rFonts w:ascii="Arial" w:hAnsi="Arial" w:cs="Arial"/>
                <w:b/>
                <w:sz w:val="20"/>
                <w:szCs w:val="20"/>
              </w:rPr>
              <w:t xml:space="preserve"> </w:t>
            </w:r>
          </w:p>
        </w:tc>
        <w:tc>
          <w:tcPr>
            <w:tcW w:w="4478" w:type="dxa"/>
            <w:shd w:val="clear" w:color="auto" w:fill="00B0F0"/>
          </w:tcPr>
          <w:p w14:paraId="59647503" w14:textId="77777777" w:rsidR="00D3208E" w:rsidRPr="00240FC6" w:rsidRDefault="00D3208E" w:rsidP="001F4B8E">
            <w:pPr>
              <w:jc w:val="center"/>
              <w:rPr>
                <w:rFonts w:ascii="Arial" w:hAnsi="Arial" w:cs="Arial"/>
                <w:b/>
                <w:sz w:val="20"/>
                <w:szCs w:val="20"/>
              </w:rPr>
            </w:pPr>
          </w:p>
          <w:p w14:paraId="60D8F08D" w14:textId="77777777" w:rsidR="00D3208E" w:rsidRPr="00240FC6" w:rsidRDefault="00D3208E" w:rsidP="001F4B8E">
            <w:pPr>
              <w:jc w:val="center"/>
              <w:rPr>
                <w:rFonts w:ascii="Arial" w:hAnsi="Arial" w:cs="Arial"/>
                <w:b/>
                <w:sz w:val="20"/>
                <w:szCs w:val="20"/>
              </w:rPr>
            </w:pPr>
            <w:r w:rsidRPr="00240FC6">
              <w:rPr>
                <w:rFonts w:ascii="Arial" w:hAnsi="Arial" w:cs="Arial"/>
                <w:b/>
                <w:sz w:val="20"/>
                <w:szCs w:val="20"/>
              </w:rPr>
              <w:t>CÓMO LO HACE</w:t>
            </w:r>
          </w:p>
          <w:p w14:paraId="7D914A4E" w14:textId="77777777" w:rsidR="005466AA" w:rsidRPr="00240FC6" w:rsidRDefault="005466AA" w:rsidP="001F4B8E">
            <w:pPr>
              <w:jc w:val="center"/>
              <w:rPr>
                <w:rFonts w:ascii="Arial" w:hAnsi="Arial" w:cs="Arial"/>
                <w:b/>
                <w:sz w:val="20"/>
                <w:szCs w:val="20"/>
              </w:rPr>
            </w:pPr>
          </w:p>
          <w:p w14:paraId="7DE9E0A8" w14:textId="762EBD7F" w:rsidR="005466AA" w:rsidRPr="00240FC6" w:rsidRDefault="005466AA" w:rsidP="005466AA">
            <w:pPr>
              <w:jc w:val="center"/>
              <w:rPr>
                <w:rFonts w:ascii="Arial" w:hAnsi="Arial" w:cs="Arial"/>
                <w:b/>
                <w:sz w:val="20"/>
                <w:szCs w:val="20"/>
              </w:rPr>
            </w:pPr>
          </w:p>
        </w:tc>
      </w:tr>
      <w:tr w:rsidR="001338B0" w:rsidRPr="00240FC6" w14:paraId="70E716F7" w14:textId="77777777" w:rsidTr="001338B0">
        <w:trPr>
          <w:trHeight w:val="762"/>
        </w:trPr>
        <w:tc>
          <w:tcPr>
            <w:tcW w:w="2191" w:type="dxa"/>
            <w:shd w:val="clear" w:color="auto" w:fill="auto"/>
          </w:tcPr>
          <w:p w14:paraId="084D2121" w14:textId="781E0EB5" w:rsidR="00793794" w:rsidRPr="00793794" w:rsidRDefault="00793794" w:rsidP="00793794">
            <w:pPr>
              <w:rPr>
                <w:rFonts w:ascii="Arial" w:hAnsi="Arial" w:cs="Arial"/>
                <w:sz w:val="20"/>
                <w:szCs w:val="20"/>
              </w:rPr>
            </w:pPr>
            <w:r>
              <w:rPr>
                <w:rFonts w:ascii="Arial" w:hAnsi="Arial" w:cs="Arial"/>
                <w:sz w:val="20"/>
                <w:szCs w:val="20"/>
              </w:rPr>
              <w:t xml:space="preserve">Consultar los reportes mensuales publicados por </w:t>
            </w:r>
            <w:r w:rsidR="00976B1D">
              <w:rPr>
                <w:rFonts w:ascii="Arial" w:hAnsi="Arial" w:cs="Arial"/>
                <w:sz w:val="20"/>
                <w:szCs w:val="20"/>
              </w:rPr>
              <w:t>el</w:t>
            </w:r>
            <w:r>
              <w:rPr>
                <w:rFonts w:ascii="Arial" w:hAnsi="Arial" w:cs="Arial"/>
                <w:sz w:val="20"/>
                <w:szCs w:val="20"/>
              </w:rPr>
              <w:t xml:space="preserve"> DANE del trimestre móvil relacionados </w:t>
            </w:r>
            <w:r>
              <w:rPr>
                <w:rFonts w:ascii="Arial" w:hAnsi="Arial" w:cs="Arial"/>
                <w:sz w:val="20"/>
                <w:szCs w:val="20"/>
              </w:rPr>
              <w:lastRenderedPageBreak/>
              <w:t>con empleo y desocupación</w:t>
            </w:r>
          </w:p>
        </w:tc>
        <w:tc>
          <w:tcPr>
            <w:tcW w:w="1326" w:type="dxa"/>
            <w:shd w:val="clear" w:color="auto" w:fill="auto"/>
          </w:tcPr>
          <w:p w14:paraId="11FC9355" w14:textId="691325D0" w:rsidR="00793794" w:rsidRPr="00793794" w:rsidRDefault="00793794" w:rsidP="00793794">
            <w:pPr>
              <w:rPr>
                <w:rFonts w:ascii="Arial" w:hAnsi="Arial" w:cs="Arial"/>
                <w:sz w:val="20"/>
                <w:szCs w:val="20"/>
              </w:rPr>
            </w:pPr>
            <w:r>
              <w:rPr>
                <w:rFonts w:ascii="Arial" w:hAnsi="Arial" w:cs="Arial"/>
                <w:sz w:val="20"/>
                <w:szCs w:val="20"/>
              </w:rPr>
              <w:lastRenderedPageBreak/>
              <w:t>Profesional Universitario empleo</w:t>
            </w:r>
          </w:p>
        </w:tc>
        <w:tc>
          <w:tcPr>
            <w:tcW w:w="2168" w:type="dxa"/>
            <w:shd w:val="clear" w:color="auto" w:fill="auto"/>
          </w:tcPr>
          <w:p w14:paraId="21ACDB07" w14:textId="5C76396B" w:rsidR="00793794" w:rsidRPr="00793794" w:rsidRDefault="00793794" w:rsidP="00793794">
            <w:pPr>
              <w:rPr>
                <w:rFonts w:ascii="Arial" w:hAnsi="Arial" w:cs="Arial"/>
                <w:sz w:val="20"/>
                <w:szCs w:val="20"/>
              </w:rPr>
            </w:pPr>
          </w:p>
        </w:tc>
        <w:tc>
          <w:tcPr>
            <w:tcW w:w="4478" w:type="dxa"/>
            <w:shd w:val="clear" w:color="auto" w:fill="auto"/>
          </w:tcPr>
          <w:p w14:paraId="7F5B6964" w14:textId="60F41B36" w:rsidR="00793794" w:rsidRPr="00793794" w:rsidRDefault="00793794" w:rsidP="00EA2D7A">
            <w:pPr>
              <w:jc w:val="both"/>
              <w:rPr>
                <w:rFonts w:ascii="Arial" w:hAnsi="Arial" w:cs="Arial"/>
                <w:sz w:val="20"/>
                <w:szCs w:val="20"/>
              </w:rPr>
            </w:pPr>
            <w:r>
              <w:rPr>
                <w:rFonts w:ascii="Arial" w:hAnsi="Arial" w:cs="Arial"/>
                <w:sz w:val="20"/>
                <w:szCs w:val="20"/>
              </w:rPr>
              <w:t xml:space="preserve">A través de </w:t>
            </w:r>
            <w:hyperlink r:id="rId10" w:anchor="empleo-y-desocupacion" w:history="1">
              <w:r w:rsidRPr="00E14D11">
                <w:rPr>
                  <w:rStyle w:val="Hipervnculo"/>
                  <w:rFonts w:ascii="Arial" w:hAnsi="Arial" w:cs="Arial"/>
                  <w:sz w:val="20"/>
                  <w:szCs w:val="20"/>
                </w:rPr>
                <w:t>https://www.dane.gov.co/index.php/estadisticas-por-tema/mercado-laboral/empleo-y-desempleo#empleo-y-desocupacion</w:t>
              </w:r>
            </w:hyperlink>
            <w:r>
              <w:rPr>
                <w:rFonts w:ascii="Arial" w:hAnsi="Arial" w:cs="Arial"/>
                <w:sz w:val="20"/>
                <w:szCs w:val="20"/>
              </w:rPr>
              <w:t xml:space="preserve">, se consulta </w:t>
            </w:r>
            <w:r w:rsidR="00426266">
              <w:rPr>
                <w:rFonts w:ascii="Arial" w:hAnsi="Arial" w:cs="Arial"/>
                <w:sz w:val="20"/>
                <w:szCs w:val="20"/>
              </w:rPr>
              <w:t>mensualmente (</w:t>
            </w:r>
            <w:r w:rsidR="002B5EE9">
              <w:rPr>
                <w:rFonts w:ascii="Arial" w:hAnsi="Arial" w:cs="Arial"/>
                <w:sz w:val="20"/>
                <w:szCs w:val="20"/>
              </w:rPr>
              <w:t>ú</w:t>
            </w:r>
            <w:r w:rsidR="00426266">
              <w:rPr>
                <w:rFonts w:ascii="Arial" w:hAnsi="Arial" w:cs="Arial"/>
                <w:sz w:val="20"/>
                <w:szCs w:val="20"/>
              </w:rPr>
              <w:t>ltim</w:t>
            </w:r>
            <w:r w:rsidR="002B5EE9">
              <w:rPr>
                <w:rFonts w:ascii="Arial" w:hAnsi="Arial" w:cs="Arial"/>
                <w:sz w:val="20"/>
                <w:szCs w:val="20"/>
              </w:rPr>
              <w:t>o</w:t>
            </w:r>
            <w:r w:rsidR="00426266">
              <w:rPr>
                <w:rFonts w:ascii="Arial" w:hAnsi="Arial" w:cs="Arial"/>
                <w:sz w:val="20"/>
                <w:szCs w:val="20"/>
              </w:rPr>
              <w:t xml:space="preserve"> día hábil del </w:t>
            </w:r>
            <w:r w:rsidR="00426266">
              <w:rPr>
                <w:rFonts w:ascii="Arial" w:hAnsi="Arial" w:cs="Arial"/>
                <w:sz w:val="20"/>
                <w:szCs w:val="20"/>
              </w:rPr>
              <w:lastRenderedPageBreak/>
              <w:t>mes), los reportes del trimestre móvil</w:t>
            </w:r>
            <w:r w:rsidR="00747AB1">
              <w:rPr>
                <w:rFonts w:ascii="Arial" w:hAnsi="Arial" w:cs="Arial"/>
                <w:sz w:val="20"/>
                <w:szCs w:val="20"/>
              </w:rPr>
              <w:t xml:space="preserve"> (</w:t>
            </w:r>
            <w:r w:rsidR="00747AB1" w:rsidRPr="00747AB1">
              <w:rPr>
                <w:rFonts w:ascii="Arial" w:hAnsi="Arial" w:cs="Arial"/>
                <w:sz w:val="20"/>
                <w:szCs w:val="20"/>
              </w:rPr>
              <w:t>Presentación rueda de prensa</w:t>
            </w:r>
            <w:r w:rsidR="00344E25">
              <w:rPr>
                <w:rFonts w:ascii="Arial" w:hAnsi="Arial" w:cs="Arial"/>
                <w:sz w:val="20"/>
                <w:szCs w:val="20"/>
              </w:rPr>
              <w:t>, archivo en PDF</w:t>
            </w:r>
            <w:r w:rsidR="00747AB1" w:rsidRPr="00747AB1">
              <w:rPr>
                <w:rFonts w:ascii="Arial" w:hAnsi="Arial" w:cs="Arial"/>
                <w:sz w:val="20"/>
                <w:szCs w:val="20"/>
              </w:rPr>
              <w:t>)</w:t>
            </w:r>
            <w:r w:rsidR="00426266">
              <w:rPr>
                <w:rFonts w:ascii="Arial" w:hAnsi="Arial" w:cs="Arial"/>
                <w:sz w:val="20"/>
                <w:szCs w:val="20"/>
              </w:rPr>
              <w:t xml:space="preserve">, con el fin de </w:t>
            </w:r>
            <w:r w:rsidR="00747AB1">
              <w:rPr>
                <w:rFonts w:ascii="Arial" w:hAnsi="Arial" w:cs="Arial"/>
                <w:sz w:val="20"/>
                <w:szCs w:val="20"/>
              </w:rPr>
              <w:t>enterarse de los principales resultados de la TGP, TO, TD y los datos de Juventud e informalidad</w:t>
            </w:r>
            <w:r w:rsidR="00D14720">
              <w:rPr>
                <w:rFonts w:ascii="Arial" w:hAnsi="Arial" w:cs="Arial"/>
                <w:sz w:val="20"/>
                <w:szCs w:val="20"/>
              </w:rPr>
              <w:t xml:space="preserve"> en el mercado laboral.</w:t>
            </w:r>
          </w:p>
        </w:tc>
      </w:tr>
      <w:tr w:rsidR="00566742" w:rsidRPr="00240FC6" w14:paraId="4FBFE4B7" w14:textId="77777777" w:rsidTr="001338B0">
        <w:trPr>
          <w:trHeight w:val="762"/>
        </w:trPr>
        <w:tc>
          <w:tcPr>
            <w:tcW w:w="2191" w:type="dxa"/>
            <w:shd w:val="clear" w:color="auto" w:fill="auto"/>
          </w:tcPr>
          <w:p w14:paraId="48D4362F" w14:textId="3CE77496" w:rsidR="00D14720" w:rsidRDefault="00D14720" w:rsidP="00793794">
            <w:pPr>
              <w:rPr>
                <w:rFonts w:ascii="Arial" w:hAnsi="Arial" w:cs="Arial"/>
                <w:sz w:val="20"/>
                <w:szCs w:val="20"/>
              </w:rPr>
            </w:pPr>
            <w:r>
              <w:rPr>
                <w:rFonts w:ascii="Arial" w:hAnsi="Arial" w:cs="Arial"/>
                <w:sz w:val="20"/>
                <w:szCs w:val="20"/>
              </w:rPr>
              <w:lastRenderedPageBreak/>
              <w:t xml:space="preserve">Comparar los resultados del trimestre móvil </w:t>
            </w:r>
            <w:r w:rsidR="00354818">
              <w:rPr>
                <w:rFonts w:ascii="Arial" w:hAnsi="Arial" w:cs="Arial"/>
                <w:sz w:val="20"/>
                <w:szCs w:val="20"/>
              </w:rPr>
              <w:t>publicado por el DANE y el mismo periodo del año inmediatamente anterior</w:t>
            </w:r>
          </w:p>
        </w:tc>
        <w:tc>
          <w:tcPr>
            <w:tcW w:w="1326" w:type="dxa"/>
            <w:shd w:val="clear" w:color="auto" w:fill="auto"/>
          </w:tcPr>
          <w:p w14:paraId="102F86D0" w14:textId="71F65B5F" w:rsidR="00D14720" w:rsidRDefault="00354818" w:rsidP="00793794">
            <w:pPr>
              <w:rPr>
                <w:rFonts w:ascii="Arial" w:hAnsi="Arial" w:cs="Arial"/>
                <w:sz w:val="20"/>
                <w:szCs w:val="20"/>
              </w:rPr>
            </w:pPr>
            <w:r>
              <w:rPr>
                <w:rFonts w:ascii="Arial" w:hAnsi="Arial" w:cs="Arial"/>
                <w:sz w:val="20"/>
                <w:szCs w:val="20"/>
              </w:rPr>
              <w:t>Profesional Universitario empleo</w:t>
            </w:r>
          </w:p>
        </w:tc>
        <w:tc>
          <w:tcPr>
            <w:tcW w:w="2168" w:type="dxa"/>
            <w:shd w:val="clear" w:color="auto" w:fill="auto"/>
          </w:tcPr>
          <w:p w14:paraId="0A5395F5" w14:textId="3E8599F5" w:rsidR="00D14720" w:rsidRDefault="00D14720" w:rsidP="00793794">
            <w:pPr>
              <w:rPr>
                <w:rFonts w:ascii="Arial" w:hAnsi="Arial" w:cs="Arial"/>
                <w:sz w:val="20"/>
                <w:szCs w:val="20"/>
              </w:rPr>
            </w:pPr>
          </w:p>
        </w:tc>
        <w:tc>
          <w:tcPr>
            <w:tcW w:w="4478" w:type="dxa"/>
            <w:shd w:val="clear" w:color="auto" w:fill="auto"/>
          </w:tcPr>
          <w:p w14:paraId="6ED252DC" w14:textId="0B544BF4" w:rsidR="00D14720" w:rsidRDefault="00354818" w:rsidP="00EA2D7A">
            <w:pPr>
              <w:jc w:val="both"/>
              <w:rPr>
                <w:rFonts w:ascii="Arial" w:hAnsi="Arial" w:cs="Arial"/>
                <w:sz w:val="20"/>
                <w:szCs w:val="20"/>
              </w:rPr>
            </w:pPr>
            <w:r>
              <w:rPr>
                <w:rFonts w:ascii="Arial" w:hAnsi="Arial" w:cs="Arial"/>
                <w:sz w:val="20"/>
                <w:szCs w:val="20"/>
              </w:rPr>
              <w:t xml:space="preserve">Se descarga la información de </w:t>
            </w:r>
            <w:hyperlink r:id="rId11" w:anchor="empleo-y-desocupacion" w:history="1">
              <w:r w:rsidRPr="00E14D11">
                <w:rPr>
                  <w:rStyle w:val="Hipervnculo"/>
                  <w:rFonts w:ascii="Arial" w:hAnsi="Arial" w:cs="Arial"/>
                  <w:sz w:val="20"/>
                  <w:szCs w:val="20"/>
                </w:rPr>
                <w:t>https://www.dane.gov.co/index.php/estadisticas-por-tema/mercado-laboral/empleo-y-desempleo#empleo-y-desocupacion</w:t>
              </w:r>
            </w:hyperlink>
            <w:r>
              <w:rPr>
                <w:rFonts w:ascii="Arial" w:hAnsi="Arial" w:cs="Arial"/>
                <w:sz w:val="20"/>
                <w:szCs w:val="20"/>
              </w:rPr>
              <w:t xml:space="preserve"> , se descargan los anexos</w:t>
            </w:r>
            <w:r w:rsidR="00344E25">
              <w:rPr>
                <w:rFonts w:ascii="Arial" w:hAnsi="Arial" w:cs="Arial"/>
                <w:sz w:val="20"/>
                <w:szCs w:val="20"/>
              </w:rPr>
              <w:t xml:space="preserve"> (archivo excel)</w:t>
            </w:r>
            <w:r>
              <w:rPr>
                <w:rFonts w:ascii="Arial" w:hAnsi="Arial" w:cs="Arial"/>
                <w:sz w:val="20"/>
                <w:szCs w:val="20"/>
              </w:rPr>
              <w:t>, y se revisan los datos de total de 23 ciudades A.M trimestre, los datos de Manizales, los Ocupados 23 ciudades por rama para identificar las actividades económicas donde se generaron mayor n</w:t>
            </w:r>
            <w:r w:rsidR="002B5EE9">
              <w:rPr>
                <w:rFonts w:ascii="Arial" w:hAnsi="Arial" w:cs="Arial"/>
                <w:sz w:val="20"/>
                <w:szCs w:val="20"/>
              </w:rPr>
              <w:t>ú</w:t>
            </w:r>
            <w:r>
              <w:rPr>
                <w:rFonts w:ascii="Arial" w:hAnsi="Arial" w:cs="Arial"/>
                <w:sz w:val="20"/>
                <w:szCs w:val="20"/>
              </w:rPr>
              <w:t>mero de ocupados y donde se perdieron</w:t>
            </w:r>
            <w:r w:rsidR="00344E25">
              <w:rPr>
                <w:rFonts w:ascii="Arial" w:hAnsi="Arial" w:cs="Arial"/>
                <w:sz w:val="20"/>
                <w:szCs w:val="20"/>
              </w:rPr>
              <w:t xml:space="preserve"> y/o ganaron</w:t>
            </w:r>
            <w:r>
              <w:rPr>
                <w:rFonts w:ascii="Arial" w:hAnsi="Arial" w:cs="Arial"/>
                <w:sz w:val="20"/>
                <w:szCs w:val="20"/>
              </w:rPr>
              <w:t xml:space="preserve"> empleos</w:t>
            </w:r>
            <w:r w:rsidR="00344E25">
              <w:rPr>
                <w:rFonts w:ascii="Arial" w:hAnsi="Arial" w:cs="Arial"/>
                <w:sz w:val="20"/>
                <w:szCs w:val="20"/>
              </w:rPr>
              <w:t>.</w:t>
            </w:r>
          </w:p>
          <w:p w14:paraId="43AC9AEA" w14:textId="018C4DE9" w:rsidR="00EA2D7A" w:rsidRDefault="00EA2D7A" w:rsidP="00EA2D7A">
            <w:pPr>
              <w:jc w:val="both"/>
              <w:rPr>
                <w:rFonts w:ascii="Arial" w:hAnsi="Arial" w:cs="Arial"/>
                <w:sz w:val="20"/>
                <w:szCs w:val="20"/>
              </w:rPr>
            </w:pPr>
            <w:r>
              <w:rPr>
                <w:rFonts w:ascii="Arial" w:hAnsi="Arial" w:cs="Arial"/>
                <w:sz w:val="20"/>
                <w:szCs w:val="20"/>
              </w:rPr>
              <w:t>Estos análisis se le entregan al secretario de despacho</w:t>
            </w:r>
          </w:p>
        </w:tc>
      </w:tr>
      <w:tr w:rsidR="00EA2D7A" w:rsidRPr="00240FC6" w14:paraId="21B2FFA3" w14:textId="77777777" w:rsidTr="001338B0">
        <w:trPr>
          <w:trHeight w:val="762"/>
        </w:trPr>
        <w:tc>
          <w:tcPr>
            <w:tcW w:w="2191" w:type="dxa"/>
            <w:shd w:val="clear" w:color="auto" w:fill="auto"/>
          </w:tcPr>
          <w:p w14:paraId="6EB95989" w14:textId="247BDF58" w:rsidR="00EA2D7A" w:rsidRDefault="00EA2D7A" w:rsidP="00793794">
            <w:pPr>
              <w:rPr>
                <w:rFonts w:ascii="Arial" w:hAnsi="Arial" w:cs="Arial"/>
                <w:sz w:val="20"/>
                <w:szCs w:val="20"/>
              </w:rPr>
            </w:pPr>
            <w:r>
              <w:rPr>
                <w:rFonts w:ascii="Arial" w:hAnsi="Arial" w:cs="Arial"/>
                <w:sz w:val="20"/>
                <w:szCs w:val="20"/>
              </w:rPr>
              <w:t>Atender las solicitudes de la oficina de prensa o medios de comunicación</w:t>
            </w:r>
          </w:p>
        </w:tc>
        <w:tc>
          <w:tcPr>
            <w:tcW w:w="1326" w:type="dxa"/>
            <w:shd w:val="clear" w:color="auto" w:fill="auto"/>
          </w:tcPr>
          <w:p w14:paraId="57ACBC3A" w14:textId="05F9012E" w:rsidR="00EA2D7A" w:rsidRDefault="00EA2D7A" w:rsidP="00793794">
            <w:pPr>
              <w:rPr>
                <w:rFonts w:ascii="Arial" w:hAnsi="Arial" w:cs="Arial"/>
                <w:sz w:val="20"/>
                <w:szCs w:val="20"/>
              </w:rPr>
            </w:pPr>
            <w:r>
              <w:rPr>
                <w:rFonts w:ascii="Arial" w:hAnsi="Arial" w:cs="Arial"/>
                <w:sz w:val="20"/>
                <w:szCs w:val="20"/>
              </w:rPr>
              <w:t>Secretario de despacho</w:t>
            </w:r>
          </w:p>
        </w:tc>
        <w:tc>
          <w:tcPr>
            <w:tcW w:w="2168" w:type="dxa"/>
            <w:shd w:val="clear" w:color="auto" w:fill="auto"/>
          </w:tcPr>
          <w:p w14:paraId="18BDE6CC" w14:textId="77777777" w:rsidR="00EA2D7A" w:rsidRDefault="00EA2D7A" w:rsidP="00793794">
            <w:pPr>
              <w:rPr>
                <w:rFonts w:ascii="Arial" w:hAnsi="Arial" w:cs="Arial"/>
                <w:sz w:val="20"/>
                <w:szCs w:val="20"/>
              </w:rPr>
            </w:pPr>
          </w:p>
        </w:tc>
        <w:tc>
          <w:tcPr>
            <w:tcW w:w="4478" w:type="dxa"/>
            <w:shd w:val="clear" w:color="auto" w:fill="auto"/>
          </w:tcPr>
          <w:p w14:paraId="484BDEE6" w14:textId="07C7DE02" w:rsidR="00EA2D7A" w:rsidRDefault="00EA2D7A" w:rsidP="00EA2D7A">
            <w:pPr>
              <w:jc w:val="both"/>
              <w:rPr>
                <w:rFonts w:ascii="Arial" w:hAnsi="Arial" w:cs="Arial"/>
                <w:sz w:val="20"/>
                <w:szCs w:val="20"/>
              </w:rPr>
            </w:pPr>
            <w:r>
              <w:rPr>
                <w:rFonts w:ascii="Arial" w:hAnsi="Arial" w:cs="Arial"/>
                <w:sz w:val="20"/>
                <w:szCs w:val="20"/>
              </w:rPr>
              <w:t>Cuando se requiere o se lo soliciten medios de comunicación o la oficina de prensa deberá emitir interpretación de los resultados publicados por el DANE relacionados con empleo.</w:t>
            </w:r>
          </w:p>
        </w:tc>
      </w:tr>
      <w:tr w:rsidR="001338B0" w:rsidRPr="00240FC6" w14:paraId="729A4ADB" w14:textId="77777777" w:rsidTr="001338B0">
        <w:trPr>
          <w:trHeight w:val="699"/>
        </w:trPr>
        <w:tc>
          <w:tcPr>
            <w:tcW w:w="2191" w:type="dxa"/>
            <w:shd w:val="clear" w:color="auto" w:fill="FFFFFF"/>
          </w:tcPr>
          <w:p w14:paraId="4AC55B68" w14:textId="5A142969" w:rsidR="00793794" w:rsidRPr="00240FC6" w:rsidRDefault="00354818" w:rsidP="00793794">
            <w:pPr>
              <w:rPr>
                <w:rFonts w:ascii="Arial" w:hAnsi="Arial" w:cs="Arial"/>
                <w:sz w:val="20"/>
                <w:szCs w:val="20"/>
              </w:rPr>
            </w:pPr>
            <w:r>
              <w:rPr>
                <w:rFonts w:ascii="Arial" w:hAnsi="Arial" w:cs="Arial"/>
                <w:sz w:val="20"/>
                <w:szCs w:val="20"/>
              </w:rPr>
              <w:t>Establecer necesidades de análisis de datos específicos de acuerdo con las políticas públicas y los comités relacionados con empleo</w:t>
            </w:r>
            <w:r w:rsidR="00793794">
              <w:rPr>
                <w:rFonts w:ascii="Arial" w:hAnsi="Arial" w:cs="Arial"/>
                <w:sz w:val="20"/>
                <w:szCs w:val="20"/>
              </w:rPr>
              <w:t xml:space="preserve"> </w:t>
            </w:r>
          </w:p>
        </w:tc>
        <w:tc>
          <w:tcPr>
            <w:tcW w:w="1326" w:type="dxa"/>
            <w:shd w:val="clear" w:color="auto" w:fill="FFFFFF"/>
          </w:tcPr>
          <w:p w14:paraId="105083F2" w14:textId="739729A4" w:rsidR="00793794" w:rsidRPr="00240FC6" w:rsidRDefault="00793794" w:rsidP="00793794">
            <w:pPr>
              <w:rPr>
                <w:rFonts w:ascii="Arial" w:hAnsi="Arial" w:cs="Arial"/>
                <w:sz w:val="20"/>
                <w:szCs w:val="20"/>
              </w:rPr>
            </w:pPr>
            <w:r>
              <w:rPr>
                <w:rFonts w:ascii="Arial" w:hAnsi="Arial" w:cs="Arial"/>
                <w:sz w:val="20"/>
                <w:szCs w:val="20"/>
              </w:rPr>
              <w:t>Profesional Universitario empleo</w:t>
            </w:r>
          </w:p>
        </w:tc>
        <w:tc>
          <w:tcPr>
            <w:tcW w:w="2168" w:type="dxa"/>
            <w:shd w:val="clear" w:color="auto" w:fill="FFFFFF"/>
          </w:tcPr>
          <w:p w14:paraId="17A07807" w14:textId="77777777" w:rsidR="00EA2D7A" w:rsidRDefault="00EA2D7A" w:rsidP="00EA2D7A">
            <w:pPr>
              <w:rPr>
                <w:rFonts w:ascii="Arial" w:hAnsi="Arial" w:cs="Arial"/>
                <w:color w:val="2E74B5" w:themeColor="accent1" w:themeShade="BF"/>
                <w:sz w:val="20"/>
                <w:szCs w:val="20"/>
              </w:rPr>
            </w:pPr>
            <w:r>
              <w:rPr>
                <w:rFonts w:ascii="Arial" w:hAnsi="Arial" w:cs="Arial"/>
                <w:color w:val="2E74B5" w:themeColor="accent1" w:themeShade="BF"/>
                <w:sz w:val="20"/>
                <w:szCs w:val="20"/>
              </w:rPr>
              <w:t>Documento de análisis cualitativo y cuantitativo de la necesidad planteada.</w:t>
            </w:r>
          </w:p>
          <w:p w14:paraId="3BABB8F4" w14:textId="77777777" w:rsidR="00793794" w:rsidRPr="00240FC6" w:rsidRDefault="00793794" w:rsidP="00EA2D7A">
            <w:pPr>
              <w:rPr>
                <w:rFonts w:ascii="Arial" w:hAnsi="Arial" w:cs="Arial"/>
                <w:sz w:val="20"/>
                <w:szCs w:val="20"/>
              </w:rPr>
            </w:pPr>
          </w:p>
        </w:tc>
        <w:tc>
          <w:tcPr>
            <w:tcW w:w="4478" w:type="dxa"/>
            <w:shd w:val="clear" w:color="auto" w:fill="FFFFFF"/>
          </w:tcPr>
          <w:p w14:paraId="2C7DD67D" w14:textId="1AA1BC85" w:rsidR="00793794" w:rsidRPr="00240FC6" w:rsidRDefault="00354818" w:rsidP="00793794">
            <w:pPr>
              <w:jc w:val="both"/>
              <w:rPr>
                <w:rFonts w:ascii="Arial" w:hAnsi="Arial" w:cs="Arial"/>
                <w:sz w:val="20"/>
                <w:szCs w:val="20"/>
              </w:rPr>
            </w:pPr>
            <w:r>
              <w:rPr>
                <w:rFonts w:ascii="Arial" w:hAnsi="Arial" w:cs="Arial"/>
                <w:sz w:val="20"/>
                <w:szCs w:val="20"/>
              </w:rPr>
              <w:t>A través de la participación en los comités y subcomisiones de empleo se debe identificar los análisis requeridos del mercado labor como complemento a las actividades que realicen las otras instituciones, para determinar el alcance de la intervención de la Administración Municipal en materia de análisis</w:t>
            </w:r>
            <w:r w:rsidR="001338B0">
              <w:rPr>
                <w:rFonts w:ascii="Arial" w:hAnsi="Arial" w:cs="Arial"/>
                <w:sz w:val="20"/>
                <w:szCs w:val="20"/>
              </w:rPr>
              <w:t xml:space="preserve"> de datos o microdatos</w:t>
            </w:r>
            <w:r>
              <w:rPr>
                <w:rFonts w:ascii="Arial" w:hAnsi="Arial" w:cs="Arial"/>
                <w:sz w:val="20"/>
                <w:szCs w:val="20"/>
              </w:rPr>
              <w:t>, lo cual deberá quedar consignado en</w:t>
            </w:r>
            <w:r w:rsidR="001338B0">
              <w:rPr>
                <w:rFonts w:ascii="Arial" w:hAnsi="Arial" w:cs="Arial"/>
                <w:sz w:val="20"/>
                <w:szCs w:val="20"/>
              </w:rPr>
              <w:t xml:space="preserve"> </w:t>
            </w:r>
            <w:r w:rsidR="001338B0">
              <w:rPr>
                <w:rFonts w:ascii="Arial" w:hAnsi="Arial" w:cs="Arial"/>
                <w:color w:val="2E74B5" w:themeColor="accent1" w:themeShade="BF"/>
                <w:sz w:val="20"/>
                <w:szCs w:val="20"/>
              </w:rPr>
              <w:t>Documento de análisis cualitativo y cuantitativo de la necesidad planteada</w:t>
            </w:r>
          </w:p>
        </w:tc>
      </w:tr>
      <w:tr w:rsidR="001338B0" w:rsidRPr="00240FC6" w14:paraId="67C73B79" w14:textId="77777777" w:rsidTr="001338B0">
        <w:trPr>
          <w:trHeight w:val="487"/>
        </w:trPr>
        <w:tc>
          <w:tcPr>
            <w:tcW w:w="2191" w:type="dxa"/>
            <w:shd w:val="clear" w:color="auto" w:fill="FFFFFF"/>
            <w:vAlign w:val="center"/>
          </w:tcPr>
          <w:p w14:paraId="361EF67F" w14:textId="00774ADF" w:rsidR="00003A3D" w:rsidRPr="00240FC6" w:rsidRDefault="00003A3D" w:rsidP="00003A3D">
            <w:pPr>
              <w:rPr>
                <w:rFonts w:ascii="Arial" w:hAnsi="Arial" w:cs="Arial"/>
                <w:sz w:val="20"/>
                <w:szCs w:val="20"/>
              </w:rPr>
            </w:pPr>
            <w:r>
              <w:rPr>
                <w:rFonts w:ascii="Arial" w:hAnsi="Arial" w:cs="Arial"/>
                <w:sz w:val="20"/>
                <w:szCs w:val="20"/>
              </w:rPr>
              <w:t xml:space="preserve">Inicia etapa precontractual de acuerdo al procedimiento interno establecido en el Manual de Contratación </w:t>
            </w:r>
          </w:p>
        </w:tc>
        <w:tc>
          <w:tcPr>
            <w:tcW w:w="1326" w:type="dxa"/>
            <w:shd w:val="clear" w:color="auto" w:fill="FFFFFF"/>
            <w:vAlign w:val="center"/>
          </w:tcPr>
          <w:p w14:paraId="5CE34991" w14:textId="7AC1B482" w:rsidR="00003A3D" w:rsidRPr="00240FC6" w:rsidRDefault="00003A3D" w:rsidP="00003A3D">
            <w:pPr>
              <w:rPr>
                <w:rFonts w:ascii="Arial" w:hAnsi="Arial" w:cs="Arial"/>
                <w:sz w:val="20"/>
                <w:szCs w:val="20"/>
              </w:rPr>
            </w:pPr>
            <w:r>
              <w:rPr>
                <w:rFonts w:ascii="Arial" w:hAnsi="Arial" w:cs="Arial"/>
                <w:sz w:val="20"/>
                <w:szCs w:val="20"/>
              </w:rPr>
              <w:t>Profesional Universitario empleo</w:t>
            </w:r>
          </w:p>
        </w:tc>
        <w:tc>
          <w:tcPr>
            <w:tcW w:w="2168" w:type="dxa"/>
            <w:shd w:val="clear" w:color="auto" w:fill="FFFFFF"/>
            <w:vAlign w:val="center"/>
          </w:tcPr>
          <w:p w14:paraId="168A1AF1" w14:textId="43A10BCF" w:rsidR="00003A3D" w:rsidRPr="00240FC6" w:rsidRDefault="002B5EE9" w:rsidP="00003A3D">
            <w:pPr>
              <w:rPr>
                <w:rFonts w:ascii="Arial" w:hAnsi="Arial" w:cs="Arial"/>
                <w:sz w:val="20"/>
                <w:szCs w:val="20"/>
              </w:rPr>
            </w:pPr>
            <w:r w:rsidRPr="00671857">
              <w:rPr>
                <w:rFonts w:ascii="Arial" w:hAnsi="Arial" w:cs="Arial"/>
                <w:color w:val="5B9BD5" w:themeColor="accent1"/>
                <w:sz w:val="20"/>
                <w:szCs w:val="20"/>
              </w:rPr>
              <w:t>Formato</w:t>
            </w:r>
            <w:r>
              <w:rPr>
                <w:rFonts w:ascii="Arial" w:hAnsi="Arial" w:cs="Arial"/>
                <w:color w:val="5B9BD5" w:themeColor="accent1"/>
                <w:sz w:val="20"/>
                <w:szCs w:val="20"/>
              </w:rPr>
              <w:t>s</w:t>
            </w:r>
            <w:r w:rsidR="00003A3D" w:rsidRPr="00671857">
              <w:rPr>
                <w:rFonts w:ascii="Arial" w:hAnsi="Arial" w:cs="Arial"/>
                <w:color w:val="5B9BD5" w:themeColor="accent1"/>
                <w:sz w:val="20"/>
                <w:szCs w:val="20"/>
              </w:rPr>
              <w:t xml:space="preserve"> Check list</w:t>
            </w:r>
            <w:r w:rsidR="00003A3D">
              <w:rPr>
                <w:rFonts w:ascii="Arial" w:hAnsi="Arial" w:cs="Arial"/>
                <w:color w:val="5B9BD5" w:themeColor="accent1"/>
                <w:sz w:val="20"/>
                <w:szCs w:val="20"/>
              </w:rPr>
              <w:t xml:space="preserve"> de contratación (PSI-SJM-FR-052/053/054/055/056)</w:t>
            </w:r>
          </w:p>
        </w:tc>
        <w:tc>
          <w:tcPr>
            <w:tcW w:w="4478" w:type="dxa"/>
            <w:shd w:val="clear" w:color="auto" w:fill="FFFFFF"/>
            <w:vAlign w:val="center"/>
          </w:tcPr>
          <w:p w14:paraId="2144CF08" w14:textId="29BF69B3" w:rsidR="00003A3D" w:rsidRPr="008812BB" w:rsidRDefault="00003A3D" w:rsidP="00003A3D">
            <w:pPr>
              <w:jc w:val="both"/>
              <w:rPr>
                <w:rFonts w:ascii="Arial" w:hAnsi="Arial" w:cs="Arial"/>
                <w:sz w:val="20"/>
                <w:szCs w:val="20"/>
              </w:rPr>
            </w:pPr>
            <w:r>
              <w:rPr>
                <w:rFonts w:ascii="Arial" w:hAnsi="Arial" w:cs="Arial"/>
                <w:sz w:val="20"/>
                <w:szCs w:val="20"/>
              </w:rPr>
              <w:t>Inicia el proceso contractual de acuerdo a los procedimientos previamente establecidos, hasta la suscripción del contrato o convenio según el caso.</w:t>
            </w:r>
          </w:p>
        </w:tc>
      </w:tr>
      <w:tr w:rsidR="001338B0" w:rsidRPr="00240FC6" w14:paraId="029D5605" w14:textId="77777777" w:rsidTr="001338B0">
        <w:trPr>
          <w:trHeight w:val="1283"/>
        </w:trPr>
        <w:tc>
          <w:tcPr>
            <w:tcW w:w="2191" w:type="dxa"/>
            <w:shd w:val="clear" w:color="auto" w:fill="FFFFFF"/>
          </w:tcPr>
          <w:p w14:paraId="3F0CAC34" w14:textId="08D03C31" w:rsidR="00793794" w:rsidRDefault="00003A3D" w:rsidP="00793794">
            <w:pPr>
              <w:rPr>
                <w:rFonts w:ascii="Arial" w:hAnsi="Arial" w:cs="Arial"/>
                <w:sz w:val="20"/>
                <w:szCs w:val="20"/>
              </w:rPr>
            </w:pPr>
            <w:r>
              <w:rPr>
                <w:rFonts w:ascii="Arial" w:hAnsi="Arial" w:cs="Arial"/>
                <w:color w:val="000000" w:themeColor="text1"/>
                <w:sz w:val="20"/>
                <w:szCs w:val="20"/>
              </w:rPr>
              <w:t>Publicar los análisis realizados del mercado laboral</w:t>
            </w:r>
          </w:p>
        </w:tc>
        <w:tc>
          <w:tcPr>
            <w:tcW w:w="1326" w:type="dxa"/>
            <w:shd w:val="clear" w:color="auto" w:fill="FFFFFF"/>
          </w:tcPr>
          <w:p w14:paraId="64371A5C" w14:textId="31A2E679" w:rsidR="00793794" w:rsidRDefault="00793794" w:rsidP="00793794">
            <w:pPr>
              <w:rPr>
                <w:rFonts w:ascii="Arial" w:hAnsi="Arial" w:cs="Arial"/>
                <w:sz w:val="20"/>
                <w:szCs w:val="20"/>
              </w:rPr>
            </w:pPr>
            <w:r>
              <w:rPr>
                <w:rFonts w:ascii="Arial" w:hAnsi="Arial" w:cs="Arial"/>
                <w:sz w:val="20"/>
                <w:szCs w:val="20"/>
              </w:rPr>
              <w:t>Profesional Universitario empleo</w:t>
            </w:r>
          </w:p>
        </w:tc>
        <w:tc>
          <w:tcPr>
            <w:tcW w:w="2168" w:type="dxa"/>
            <w:shd w:val="clear" w:color="auto" w:fill="FFFFFF"/>
          </w:tcPr>
          <w:p w14:paraId="30FB2299" w14:textId="5B7CC935" w:rsidR="00793794" w:rsidRDefault="00793794" w:rsidP="00003A3D">
            <w:pPr>
              <w:rPr>
                <w:rFonts w:ascii="Arial" w:hAnsi="Arial" w:cs="Arial"/>
                <w:color w:val="0070C0"/>
                <w:sz w:val="20"/>
                <w:szCs w:val="20"/>
              </w:rPr>
            </w:pPr>
          </w:p>
        </w:tc>
        <w:tc>
          <w:tcPr>
            <w:tcW w:w="4478" w:type="dxa"/>
            <w:shd w:val="clear" w:color="auto" w:fill="FFFFFF"/>
          </w:tcPr>
          <w:p w14:paraId="243818CE" w14:textId="77777777" w:rsidR="00003A3D" w:rsidRPr="00003A3D" w:rsidRDefault="00003A3D" w:rsidP="00003A3D">
            <w:pPr>
              <w:jc w:val="both"/>
              <w:rPr>
                <w:rFonts w:ascii="Arial" w:hAnsi="Arial" w:cs="Arial"/>
                <w:sz w:val="20"/>
                <w:szCs w:val="20"/>
              </w:rPr>
            </w:pPr>
            <w:r>
              <w:rPr>
                <w:rFonts w:ascii="Arial" w:hAnsi="Arial" w:cs="Arial"/>
                <w:sz w:val="20"/>
                <w:szCs w:val="20"/>
              </w:rPr>
              <w:t xml:space="preserve">Aplicar procedimiento </w:t>
            </w:r>
            <w:r w:rsidRPr="00003A3D">
              <w:rPr>
                <w:rFonts w:ascii="Arial" w:hAnsi="Arial" w:cs="Arial"/>
                <w:sz w:val="20"/>
                <w:szCs w:val="20"/>
              </w:rPr>
              <w:t>SOLICITUD, PUBLICACIÓN Y CONSERVACIÓN DE LA INFORMACIÓN EN LA PÁGINA WEB DE LA ALCALDÍA DE MANIZALES</w:t>
            </w:r>
            <w:r>
              <w:rPr>
                <w:rFonts w:ascii="Arial" w:hAnsi="Arial" w:cs="Arial"/>
                <w:sz w:val="20"/>
                <w:szCs w:val="20"/>
              </w:rPr>
              <w:t xml:space="preserve"> </w:t>
            </w:r>
            <w:r w:rsidRPr="00003A3D">
              <w:rPr>
                <w:rFonts w:ascii="Arial" w:hAnsi="Arial" w:cs="Arial"/>
                <w:sz w:val="20"/>
                <w:szCs w:val="20"/>
              </w:rPr>
              <w:t>VERSIÓN 2</w:t>
            </w:r>
          </w:p>
          <w:p w14:paraId="2D6B25FE" w14:textId="171C6F1B" w:rsidR="00793794" w:rsidRDefault="00003A3D" w:rsidP="00003A3D">
            <w:pPr>
              <w:jc w:val="both"/>
              <w:rPr>
                <w:rFonts w:ascii="Arial" w:hAnsi="Arial" w:cs="Arial"/>
                <w:sz w:val="20"/>
                <w:szCs w:val="20"/>
              </w:rPr>
            </w:pPr>
            <w:r w:rsidRPr="00003A3D">
              <w:rPr>
                <w:rFonts w:ascii="Arial" w:hAnsi="Arial" w:cs="Arial"/>
                <w:sz w:val="20"/>
                <w:szCs w:val="20"/>
              </w:rPr>
              <w:t>CÓDIGO PSI-SAM-PR-017</w:t>
            </w:r>
          </w:p>
        </w:tc>
      </w:tr>
      <w:tr w:rsidR="001338B0" w:rsidRPr="00240FC6" w14:paraId="692425A4" w14:textId="77777777" w:rsidTr="001338B0">
        <w:trPr>
          <w:trHeight w:val="1283"/>
        </w:trPr>
        <w:tc>
          <w:tcPr>
            <w:tcW w:w="2191" w:type="dxa"/>
            <w:shd w:val="clear" w:color="auto" w:fill="FFFFFF"/>
          </w:tcPr>
          <w:p w14:paraId="520A0F4D" w14:textId="3E149661" w:rsidR="00793794" w:rsidRPr="00240FC6" w:rsidRDefault="00003A3D" w:rsidP="00793794">
            <w:pPr>
              <w:rPr>
                <w:rFonts w:ascii="Arial" w:hAnsi="Arial" w:cs="Arial"/>
                <w:color w:val="000000" w:themeColor="text1"/>
                <w:sz w:val="20"/>
                <w:szCs w:val="20"/>
              </w:rPr>
            </w:pPr>
            <w:r>
              <w:rPr>
                <w:rFonts w:ascii="Arial" w:hAnsi="Arial" w:cs="Arial"/>
                <w:color w:val="000000" w:themeColor="text1"/>
                <w:sz w:val="20"/>
                <w:szCs w:val="20"/>
              </w:rPr>
              <w:t>Enviar enlace del documento publicado para difusión a las partes interesadas</w:t>
            </w:r>
          </w:p>
        </w:tc>
        <w:tc>
          <w:tcPr>
            <w:tcW w:w="1326" w:type="dxa"/>
            <w:shd w:val="clear" w:color="auto" w:fill="FFFFFF"/>
          </w:tcPr>
          <w:p w14:paraId="66F9F169" w14:textId="5CF34C96" w:rsidR="00793794" w:rsidRPr="00240FC6" w:rsidRDefault="00003A3D" w:rsidP="00793794">
            <w:pPr>
              <w:rPr>
                <w:rFonts w:ascii="Arial" w:hAnsi="Arial" w:cs="Arial"/>
                <w:sz w:val="20"/>
                <w:szCs w:val="20"/>
              </w:rPr>
            </w:pPr>
            <w:r>
              <w:rPr>
                <w:rFonts w:ascii="Arial" w:hAnsi="Arial" w:cs="Arial"/>
                <w:sz w:val="20"/>
                <w:szCs w:val="20"/>
              </w:rPr>
              <w:t>Profesional Universitario empleo</w:t>
            </w:r>
          </w:p>
        </w:tc>
        <w:tc>
          <w:tcPr>
            <w:tcW w:w="2168" w:type="dxa"/>
            <w:shd w:val="clear" w:color="auto" w:fill="FFFFFF"/>
          </w:tcPr>
          <w:p w14:paraId="1DAF2D53" w14:textId="531D9DA8" w:rsidR="00793794" w:rsidRPr="00240FC6" w:rsidRDefault="00003A3D" w:rsidP="00793794">
            <w:pPr>
              <w:rPr>
                <w:rFonts w:ascii="Arial" w:hAnsi="Arial" w:cs="Arial"/>
                <w:sz w:val="20"/>
                <w:szCs w:val="20"/>
              </w:rPr>
            </w:pPr>
            <w:r>
              <w:rPr>
                <w:rFonts w:ascii="Arial" w:hAnsi="Arial" w:cs="Arial"/>
                <w:sz w:val="20"/>
                <w:szCs w:val="20"/>
              </w:rPr>
              <w:t>Correo electrónico</w:t>
            </w:r>
          </w:p>
        </w:tc>
        <w:tc>
          <w:tcPr>
            <w:tcW w:w="4478" w:type="dxa"/>
            <w:shd w:val="clear" w:color="auto" w:fill="FFFFFF"/>
          </w:tcPr>
          <w:p w14:paraId="646A9D5F" w14:textId="5D960FE3" w:rsidR="00793794" w:rsidRPr="00003A3D" w:rsidRDefault="00003A3D" w:rsidP="00003A3D">
            <w:pPr>
              <w:jc w:val="both"/>
              <w:rPr>
                <w:rFonts w:ascii="Arial" w:hAnsi="Arial" w:cs="Arial"/>
                <w:sz w:val="20"/>
                <w:szCs w:val="20"/>
              </w:rPr>
            </w:pPr>
            <w:r>
              <w:rPr>
                <w:rFonts w:ascii="Arial" w:hAnsi="Arial" w:cs="Arial"/>
                <w:sz w:val="20"/>
                <w:szCs w:val="20"/>
              </w:rPr>
              <w:t xml:space="preserve">Envía por correo electrónico proyectado para la difusión del mismo al </w:t>
            </w:r>
            <w:r w:rsidR="00566742">
              <w:rPr>
                <w:rFonts w:ascii="Arial" w:hAnsi="Arial" w:cs="Arial"/>
                <w:sz w:val="20"/>
                <w:szCs w:val="20"/>
              </w:rPr>
              <w:t>secretario</w:t>
            </w:r>
            <w:r>
              <w:rPr>
                <w:rFonts w:ascii="Arial" w:hAnsi="Arial" w:cs="Arial"/>
                <w:sz w:val="20"/>
                <w:szCs w:val="20"/>
              </w:rPr>
              <w:t xml:space="preserve"> de Despacho para que sea difundido a las bases de datos de los aliados, gremios, empresarios</w:t>
            </w:r>
            <w:r w:rsidR="00566742">
              <w:rPr>
                <w:rFonts w:ascii="Arial" w:hAnsi="Arial" w:cs="Arial"/>
                <w:sz w:val="20"/>
                <w:szCs w:val="20"/>
              </w:rPr>
              <w:t xml:space="preserve">, </w:t>
            </w:r>
            <w:r>
              <w:rPr>
                <w:rFonts w:ascii="Arial" w:hAnsi="Arial" w:cs="Arial"/>
                <w:sz w:val="20"/>
                <w:szCs w:val="20"/>
              </w:rPr>
              <w:t xml:space="preserve">dependencias </w:t>
            </w:r>
            <w:r w:rsidR="00566742">
              <w:rPr>
                <w:rFonts w:ascii="Arial" w:hAnsi="Arial" w:cs="Arial"/>
                <w:sz w:val="20"/>
                <w:szCs w:val="20"/>
              </w:rPr>
              <w:t>y/o</w:t>
            </w:r>
            <w:r>
              <w:rPr>
                <w:rFonts w:ascii="Arial" w:hAnsi="Arial" w:cs="Arial"/>
                <w:sz w:val="20"/>
                <w:szCs w:val="20"/>
              </w:rPr>
              <w:t xml:space="preserve"> entidades descentrali</w:t>
            </w:r>
            <w:r w:rsidR="00566742">
              <w:rPr>
                <w:rFonts w:ascii="Arial" w:hAnsi="Arial" w:cs="Arial"/>
                <w:sz w:val="20"/>
                <w:szCs w:val="20"/>
              </w:rPr>
              <w:t xml:space="preserve">zadas </w:t>
            </w:r>
            <w:r>
              <w:rPr>
                <w:rFonts w:ascii="Arial" w:hAnsi="Arial" w:cs="Arial"/>
                <w:sz w:val="20"/>
                <w:szCs w:val="20"/>
              </w:rPr>
              <w:t>según sea el caso.</w:t>
            </w:r>
          </w:p>
        </w:tc>
      </w:tr>
    </w:tbl>
    <w:p w14:paraId="5F551334" w14:textId="7CD147DE" w:rsidR="00D3208E" w:rsidRPr="00240FC6" w:rsidRDefault="00D3208E" w:rsidP="00D3208E">
      <w:pPr>
        <w:jc w:val="center"/>
        <w:rPr>
          <w:rFonts w:ascii="Arial" w:hAnsi="Arial" w:cs="Arial"/>
          <w:b/>
          <w:sz w:val="20"/>
          <w:szCs w:val="20"/>
        </w:rPr>
      </w:pPr>
    </w:p>
    <w:p w14:paraId="5DCE9DB6" w14:textId="1FFADDE9" w:rsidR="00D3208E" w:rsidRPr="00240FC6" w:rsidRDefault="00D3208E" w:rsidP="00D3208E">
      <w:pPr>
        <w:rPr>
          <w:rFonts w:ascii="Arial" w:hAnsi="Arial" w:cs="Arial"/>
          <w:sz w:val="20"/>
          <w:szCs w:val="20"/>
        </w:rPr>
      </w:pPr>
      <w:r w:rsidRPr="00240FC6">
        <w:rPr>
          <w:rFonts w:ascii="Arial" w:hAnsi="Arial" w:cs="Arial"/>
          <w:b/>
          <w:sz w:val="20"/>
          <w:szCs w:val="20"/>
        </w:rPr>
        <w:t>LISTA DE VERSIONES</w:t>
      </w:r>
      <w:r w:rsidRPr="00240FC6">
        <w:rPr>
          <w:rFonts w:ascii="Arial" w:hAnsi="Arial" w:cs="Arial"/>
          <w:sz w:val="20"/>
          <w:szCs w:val="20"/>
        </w:rPr>
        <w:t>:</w:t>
      </w:r>
      <w:r w:rsidR="00C173F4" w:rsidRPr="00240FC6">
        <w:rPr>
          <w:rFonts w:ascii="Arial" w:hAnsi="Arial" w:cs="Arial"/>
          <w:sz w:val="20"/>
          <w:szCs w:val="20"/>
        </w:rPr>
        <w:t xml:space="preserve"> Número de actualizaciones </w:t>
      </w:r>
    </w:p>
    <w:p w14:paraId="5A853791" w14:textId="77777777" w:rsidR="00D3208E" w:rsidRPr="00240FC6" w:rsidRDefault="00D3208E" w:rsidP="00D3208E">
      <w:pPr>
        <w:rPr>
          <w:rFonts w:ascii="Arial" w:hAnsi="Arial" w:cs="Arial"/>
          <w:sz w:val="20"/>
          <w:szCs w:val="2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blLook w:val="04A0" w:firstRow="1" w:lastRow="0" w:firstColumn="1" w:lastColumn="0" w:noHBand="0" w:noVBand="1"/>
      </w:tblPr>
      <w:tblGrid>
        <w:gridCol w:w="1915"/>
        <w:gridCol w:w="1919"/>
        <w:gridCol w:w="6118"/>
      </w:tblGrid>
      <w:tr w:rsidR="00D3208E" w:rsidRPr="00240FC6" w14:paraId="2D484929" w14:textId="77777777" w:rsidTr="00985CF4">
        <w:trPr>
          <w:trHeight w:val="484"/>
        </w:trPr>
        <w:tc>
          <w:tcPr>
            <w:tcW w:w="1915" w:type="dxa"/>
            <w:shd w:val="clear" w:color="auto" w:fill="00B0F0"/>
          </w:tcPr>
          <w:p w14:paraId="43B19775" w14:textId="77777777" w:rsidR="00D3208E" w:rsidRPr="00240FC6" w:rsidRDefault="00D3208E" w:rsidP="001F4B8E">
            <w:pPr>
              <w:jc w:val="center"/>
              <w:rPr>
                <w:rFonts w:ascii="Arial" w:hAnsi="Arial" w:cs="Arial"/>
                <w:b/>
                <w:color w:val="FFFFFF"/>
                <w:sz w:val="20"/>
                <w:szCs w:val="20"/>
              </w:rPr>
            </w:pPr>
          </w:p>
          <w:p w14:paraId="0F0C3EEB" w14:textId="77777777" w:rsidR="00D3208E" w:rsidRPr="00240FC6" w:rsidRDefault="00D3208E" w:rsidP="001F4B8E">
            <w:pPr>
              <w:jc w:val="center"/>
              <w:rPr>
                <w:rFonts w:ascii="Arial" w:hAnsi="Arial" w:cs="Arial"/>
                <w:b/>
                <w:color w:val="FFFFFF"/>
                <w:sz w:val="20"/>
                <w:szCs w:val="20"/>
              </w:rPr>
            </w:pPr>
            <w:r w:rsidRPr="00240FC6">
              <w:rPr>
                <w:rFonts w:ascii="Arial" w:hAnsi="Arial" w:cs="Arial"/>
                <w:b/>
                <w:color w:val="FFFFFF"/>
                <w:sz w:val="20"/>
                <w:szCs w:val="20"/>
              </w:rPr>
              <w:t>VERSIÓN</w:t>
            </w:r>
          </w:p>
        </w:tc>
        <w:tc>
          <w:tcPr>
            <w:tcW w:w="1919" w:type="dxa"/>
            <w:shd w:val="clear" w:color="auto" w:fill="00B0F0"/>
          </w:tcPr>
          <w:p w14:paraId="63D687EC" w14:textId="77777777" w:rsidR="00D3208E" w:rsidRPr="00240FC6" w:rsidRDefault="00D3208E" w:rsidP="001F4B8E">
            <w:pPr>
              <w:jc w:val="center"/>
              <w:rPr>
                <w:rFonts w:ascii="Arial" w:hAnsi="Arial" w:cs="Arial"/>
                <w:b/>
                <w:color w:val="FFFFFF"/>
                <w:sz w:val="20"/>
                <w:szCs w:val="20"/>
              </w:rPr>
            </w:pPr>
          </w:p>
          <w:p w14:paraId="38295EAC" w14:textId="77777777" w:rsidR="00D3208E" w:rsidRPr="00240FC6" w:rsidRDefault="00D3208E" w:rsidP="001F4B8E">
            <w:pPr>
              <w:jc w:val="center"/>
              <w:rPr>
                <w:rFonts w:ascii="Arial" w:hAnsi="Arial" w:cs="Arial"/>
                <w:b/>
                <w:color w:val="FFFFFF"/>
                <w:sz w:val="20"/>
                <w:szCs w:val="20"/>
              </w:rPr>
            </w:pPr>
            <w:r w:rsidRPr="00240FC6">
              <w:rPr>
                <w:rFonts w:ascii="Arial" w:hAnsi="Arial" w:cs="Arial"/>
                <w:b/>
                <w:color w:val="FFFFFF"/>
                <w:sz w:val="20"/>
                <w:szCs w:val="20"/>
              </w:rPr>
              <w:t>FECHA</w:t>
            </w:r>
          </w:p>
        </w:tc>
        <w:tc>
          <w:tcPr>
            <w:tcW w:w="6118" w:type="dxa"/>
            <w:shd w:val="clear" w:color="auto" w:fill="00B0F0"/>
          </w:tcPr>
          <w:p w14:paraId="2621C294" w14:textId="77777777" w:rsidR="00D3208E" w:rsidRPr="00240FC6" w:rsidRDefault="00D3208E" w:rsidP="001F4B8E">
            <w:pPr>
              <w:jc w:val="center"/>
              <w:rPr>
                <w:rFonts w:ascii="Arial" w:hAnsi="Arial" w:cs="Arial"/>
                <w:b/>
                <w:color w:val="FFFFFF"/>
                <w:sz w:val="20"/>
                <w:szCs w:val="20"/>
              </w:rPr>
            </w:pPr>
          </w:p>
          <w:p w14:paraId="7832764A" w14:textId="77777777" w:rsidR="00D3208E" w:rsidRPr="00240FC6" w:rsidRDefault="00D3208E" w:rsidP="001F4B8E">
            <w:pPr>
              <w:jc w:val="center"/>
              <w:rPr>
                <w:rFonts w:ascii="Arial" w:hAnsi="Arial" w:cs="Arial"/>
                <w:b/>
                <w:color w:val="FFFFFF"/>
                <w:sz w:val="20"/>
                <w:szCs w:val="20"/>
              </w:rPr>
            </w:pPr>
            <w:r w:rsidRPr="00240FC6">
              <w:rPr>
                <w:rFonts w:ascii="Arial" w:hAnsi="Arial" w:cs="Arial"/>
                <w:b/>
                <w:color w:val="FFFFFF"/>
                <w:sz w:val="20"/>
                <w:szCs w:val="20"/>
              </w:rPr>
              <w:t>RAZÓN DE LA ACTUALIZACIÓN</w:t>
            </w:r>
          </w:p>
          <w:p w14:paraId="42F0DC82" w14:textId="77777777" w:rsidR="00D3208E" w:rsidRPr="00240FC6" w:rsidRDefault="00D3208E" w:rsidP="001F4B8E">
            <w:pPr>
              <w:jc w:val="center"/>
              <w:rPr>
                <w:rFonts w:ascii="Arial" w:hAnsi="Arial" w:cs="Arial"/>
                <w:b/>
                <w:color w:val="FFFFFF"/>
                <w:sz w:val="20"/>
                <w:szCs w:val="20"/>
              </w:rPr>
            </w:pPr>
          </w:p>
        </w:tc>
      </w:tr>
      <w:tr w:rsidR="00D3208E" w:rsidRPr="00240FC6" w14:paraId="38FA206E" w14:textId="77777777" w:rsidTr="00985CF4">
        <w:trPr>
          <w:trHeight w:val="489"/>
        </w:trPr>
        <w:tc>
          <w:tcPr>
            <w:tcW w:w="1915" w:type="dxa"/>
            <w:shd w:val="clear" w:color="auto" w:fill="FFFFFF"/>
          </w:tcPr>
          <w:p w14:paraId="492B6CE1" w14:textId="1F094697" w:rsidR="00D3208E" w:rsidRPr="00240FC6" w:rsidRDefault="006B444B" w:rsidP="00C173F4">
            <w:pPr>
              <w:rPr>
                <w:rFonts w:ascii="Arial" w:hAnsi="Arial" w:cs="Arial"/>
                <w:sz w:val="20"/>
                <w:szCs w:val="20"/>
              </w:rPr>
            </w:pPr>
            <w:r>
              <w:rPr>
                <w:rFonts w:ascii="Verdana" w:hAnsi="Verdana"/>
                <w:b/>
                <w:color w:val="FF0000"/>
                <w:sz w:val="20"/>
                <w:szCs w:val="20"/>
              </w:rPr>
              <w:t xml:space="preserve">        </w:t>
            </w:r>
            <w:r w:rsidR="00C173F4" w:rsidRPr="00240FC6">
              <w:rPr>
                <w:rFonts w:ascii="Verdana" w:hAnsi="Verdana"/>
                <w:b/>
                <w:color w:val="FF0000"/>
                <w:sz w:val="20"/>
                <w:szCs w:val="20"/>
              </w:rPr>
              <w:t xml:space="preserve"> 1</w:t>
            </w:r>
          </w:p>
        </w:tc>
        <w:tc>
          <w:tcPr>
            <w:tcW w:w="1919" w:type="dxa"/>
            <w:shd w:val="clear" w:color="auto" w:fill="FFFFFF"/>
          </w:tcPr>
          <w:p w14:paraId="21FCDC6A" w14:textId="72AC6B18" w:rsidR="00D3208E" w:rsidRPr="00240FC6" w:rsidRDefault="009F78DD" w:rsidP="00C173F4">
            <w:pPr>
              <w:rPr>
                <w:rFonts w:ascii="Arial" w:hAnsi="Arial" w:cs="Arial"/>
                <w:sz w:val="20"/>
                <w:szCs w:val="20"/>
              </w:rPr>
            </w:pPr>
            <w:r>
              <w:rPr>
                <w:rFonts w:ascii="Verdana" w:hAnsi="Verdana"/>
                <w:sz w:val="20"/>
                <w:szCs w:val="20"/>
              </w:rPr>
              <w:t>26</w:t>
            </w:r>
            <w:r w:rsidR="006B444B">
              <w:rPr>
                <w:rFonts w:ascii="Verdana" w:hAnsi="Verdana"/>
                <w:sz w:val="20"/>
                <w:szCs w:val="20"/>
              </w:rPr>
              <w:t>/09/2023</w:t>
            </w:r>
          </w:p>
        </w:tc>
        <w:tc>
          <w:tcPr>
            <w:tcW w:w="6118" w:type="dxa"/>
            <w:shd w:val="clear" w:color="auto" w:fill="FFFFFF"/>
          </w:tcPr>
          <w:p w14:paraId="7CA09ED4" w14:textId="6916C8E8" w:rsidR="00D3208E" w:rsidRPr="00240FC6" w:rsidRDefault="00D3208E" w:rsidP="00C173F4">
            <w:pPr>
              <w:jc w:val="both"/>
              <w:rPr>
                <w:rFonts w:ascii="Arial" w:hAnsi="Arial" w:cs="Arial"/>
                <w:sz w:val="20"/>
                <w:szCs w:val="20"/>
              </w:rPr>
            </w:pPr>
          </w:p>
        </w:tc>
      </w:tr>
    </w:tbl>
    <w:p w14:paraId="6EBAE7B6" w14:textId="77777777" w:rsidR="00D3208E" w:rsidRPr="00240FC6" w:rsidRDefault="00D3208E" w:rsidP="00CE1A2E">
      <w:pPr>
        <w:rPr>
          <w:rFonts w:ascii="Arial" w:hAnsi="Arial" w:cs="Arial"/>
          <w:sz w:val="20"/>
          <w:szCs w:val="20"/>
        </w:rPr>
      </w:pP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260"/>
        <w:gridCol w:w="2977"/>
      </w:tblGrid>
      <w:tr w:rsidR="00D3208E" w:rsidRPr="00240FC6" w14:paraId="2A3A10AB" w14:textId="77777777" w:rsidTr="009F78DD">
        <w:trPr>
          <w:trHeight w:val="371"/>
        </w:trPr>
        <w:tc>
          <w:tcPr>
            <w:tcW w:w="3794" w:type="dxa"/>
            <w:tcBorders>
              <w:top w:val="single" w:sz="4" w:space="0" w:color="auto"/>
              <w:left w:val="single" w:sz="4" w:space="0" w:color="auto"/>
              <w:bottom w:val="single" w:sz="4" w:space="0" w:color="auto"/>
              <w:right w:val="single" w:sz="4" w:space="0" w:color="auto"/>
            </w:tcBorders>
            <w:shd w:val="clear" w:color="auto" w:fill="00B0F0"/>
          </w:tcPr>
          <w:p w14:paraId="13582376" w14:textId="77777777" w:rsidR="00D3208E" w:rsidRPr="00240FC6" w:rsidRDefault="00D3208E" w:rsidP="001F4B8E">
            <w:pPr>
              <w:jc w:val="center"/>
              <w:rPr>
                <w:rFonts w:ascii="Arial" w:hAnsi="Arial" w:cs="Arial"/>
                <w:b/>
                <w:color w:val="FFFFFF"/>
                <w:sz w:val="20"/>
                <w:szCs w:val="20"/>
              </w:rPr>
            </w:pPr>
          </w:p>
          <w:p w14:paraId="37552089" w14:textId="77777777" w:rsidR="00D3208E" w:rsidRPr="00240FC6" w:rsidRDefault="00D3208E" w:rsidP="001F4B8E">
            <w:pPr>
              <w:jc w:val="center"/>
              <w:rPr>
                <w:rFonts w:ascii="Arial" w:hAnsi="Arial" w:cs="Arial"/>
                <w:b/>
                <w:color w:val="FFFFFF"/>
                <w:sz w:val="20"/>
                <w:szCs w:val="20"/>
              </w:rPr>
            </w:pPr>
            <w:r w:rsidRPr="00240FC6">
              <w:rPr>
                <w:rFonts w:ascii="Arial" w:hAnsi="Arial" w:cs="Arial"/>
                <w:b/>
                <w:color w:val="FFFFFF"/>
                <w:sz w:val="20"/>
                <w:szCs w:val="20"/>
              </w:rPr>
              <w:t>ELABORÓ</w:t>
            </w:r>
          </w:p>
          <w:p w14:paraId="57CE0A39" w14:textId="77777777" w:rsidR="00D3208E" w:rsidRPr="00240FC6" w:rsidRDefault="00D3208E" w:rsidP="001F4B8E">
            <w:pPr>
              <w:jc w:val="center"/>
              <w:rPr>
                <w:rFonts w:ascii="Arial" w:hAnsi="Arial" w:cs="Arial"/>
                <w:color w:val="FFFFFF"/>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00B0F0"/>
          </w:tcPr>
          <w:p w14:paraId="166B2079" w14:textId="77777777" w:rsidR="00D3208E" w:rsidRPr="00240FC6" w:rsidRDefault="00D3208E" w:rsidP="001F4B8E">
            <w:pPr>
              <w:jc w:val="center"/>
              <w:rPr>
                <w:rFonts w:ascii="Arial" w:hAnsi="Arial" w:cs="Arial"/>
                <w:b/>
                <w:color w:val="FFFFFF"/>
                <w:sz w:val="20"/>
                <w:szCs w:val="20"/>
              </w:rPr>
            </w:pPr>
          </w:p>
          <w:p w14:paraId="26C98DC9" w14:textId="77777777" w:rsidR="00D3208E" w:rsidRPr="00240FC6" w:rsidRDefault="00D3208E" w:rsidP="001F4B8E">
            <w:pPr>
              <w:jc w:val="center"/>
              <w:rPr>
                <w:rFonts w:ascii="Arial" w:hAnsi="Arial" w:cs="Arial"/>
                <w:color w:val="FFFFFF"/>
                <w:sz w:val="20"/>
                <w:szCs w:val="20"/>
              </w:rPr>
            </w:pPr>
            <w:r w:rsidRPr="00240FC6">
              <w:rPr>
                <w:rFonts w:ascii="Arial" w:hAnsi="Arial" w:cs="Arial"/>
                <w:b/>
                <w:color w:val="FFFFFF"/>
                <w:sz w:val="20"/>
                <w:szCs w:val="20"/>
              </w:rPr>
              <w:t xml:space="preserve">REVISÓ   </w:t>
            </w:r>
          </w:p>
        </w:tc>
        <w:tc>
          <w:tcPr>
            <w:tcW w:w="2977" w:type="dxa"/>
            <w:tcBorders>
              <w:top w:val="single" w:sz="4" w:space="0" w:color="auto"/>
              <w:left w:val="single" w:sz="4" w:space="0" w:color="auto"/>
              <w:bottom w:val="single" w:sz="4" w:space="0" w:color="auto"/>
              <w:right w:val="single" w:sz="4" w:space="0" w:color="auto"/>
            </w:tcBorders>
            <w:shd w:val="clear" w:color="auto" w:fill="00B0F0"/>
          </w:tcPr>
          <w:p w14:paraId="1D512AF8" w14:textId="77777777" w:rsidR="00D3208E" w:rsidRPr="00240FC6" w:rsidRDefault="00D3208E" w:rsidP="001F4B8E">
            <w:pPr>
              <w:tabs>
                <w:tab w:val="left" w:pos="6345"/>
              </w:tabs>
              <w:jc w:val="center"/>
              <w:rPr>
                <w:rFonts w:ascii="Arial" w:hAnsi="Arial" w:cs="Arial"/>
                <w:b/>
                <w:color w:val="FFFFFF"/>
                <w:sz w:val="20"/>
                <w:szCs w:val="20"/>
              </w:rPr>
            </w:pPr>
          </w:p>
          <w:p w14:paraId="4DEA227E" w14:textId="77777777" w:rsidR="00D3208E" w:rsidRPr="00240FC6" w:rsidRDefault="00D3208E" w:rsidP="001F4B8E">
            <w:pPr>
              <w:tabs>
                <w:tab w:val="left" w:pos="6345"/>
              </w:tabs>
              <w:jc w:val="center"/>
              <w:rPr>
                <w:rFonts w:ascii="Arial" w:hAnsi="Arial" w:cs="Arial"/>
                <w:b/>
                <w:color w:val="FFFFFF"/>
                <w:sz w:val="20"/>
                <w:szCs w:val="20"/>
              </w:rPr>
            </w:pPr>
            <w:r w:rsidRPr="00240FC6">
              <w:rPr>
                <w:rFonts w:ascii="Arial" w:hAnsi="Arial" w:cs="Arial"/>
                <w:b/>
                <w:color w:val="FFFFFF"/>
                <w:sz w:val="20"/>
                <w:szCs w:val="20"/>
              </w:rPr>
              <w:t>APROBÓ</w:t>
            </w:r>
          </w:p>
        </w:tc>
      </w:tr>
      <w:tr w:rsidR="00D3208E" w:rsidRPr="00240FC6" w14:paraId="226797F2" w14:textId="77777777" w:rsidTr="009F78DD">
        <w:trPr>
          <w:trHeight w:val="722"/>
        </w:trPr>
        <w:tc>
          <w:tcPr>
            <w:tcW w:w="3794" w:type="dxa"/>
            <w:tcBorders>
              <w:top w:val="single" w:sz="4" w:space="0" w:color="auto"/>
              <w:left w:val="single" w:sz="4" w:space="0" w:color="auto"/>
              <w:bottom w:val="single" w:sz="4" w:space="0" w:color="auto"/>
              <w:right w:val="single" w:sz="4" w:space="0" w:color="auto"/>
            </w:tcBorders>
            <w:shd w:val="clear" w:color="auto" w:fill="FFFFFF"/>
          </w:tcPr>
          <w:p w14:paraId="109E423F" w14:textId="77777777" w:rsidR="00D3208E" w:rsidRPr="00240FC6" w:rsidRDefault="00D3208E" w:rsidP="001F4B8E">
            <w:pPr>
              <w:rPr>
                <w:rFonts w:ascii="Arial" w:hAnsi="Arial" w:cs="Arial"/>
                <w:sz w:val="20"/>
                <w:szCs w:val="20"/>
              </w:rPr>
            </w:pPr>
          </w:p>
          <w:p w14:paraId="5BF49BA1" w14:textId="77777777" w:rsidR="009C0DF3" w:rsidRDefault="009F78DD" w:rsidP="009F78DD">
            <w:pPr>
              <w:rPr>
                <w:rFonts w:ascii="Arial" w:hAnsi="Arial" w:cs="Arial"/>
                <w:sz w:val="20"/>
                <w:szCs w:val="20"/>
              </w:rPr>
            </w:pPr>
            <w:r w:rsidRPr="009F78DD">
              <w:rPr>
                <w:rFonts w:ascii="Arial" w:hAnsi="Arial" w:cs="Arial"/>
                <w:sz w:val="20"/>
                <w:szCs w:val="20"/>
              </w:rPr>
              <w:t xml:space="preserve">Nombre: </w:t>
            </w:r>
          </w:p>
          <w:p w14:paraId="58CD31C6" w14:textId="3FB9F4E4" w:rsidR="009F78DD" w:rsidRPr="009F78DD" w:rsidRDefault="009F78DD" w:rsidP="009F78DD">
            <w:pPr>
              <w:rPr>
                <w:rFonts w:ascii="Arial" w:hAnsi="Arial" w:cs="Arial"/>
                <w:sz w:val="20"/>
                <w:szCs w:val="20"/>
              </w:rPr>
            </w:pPr>
            <w:r w:rsidRPr="009F78DD">
              <w:rPr>
                <w:rFonts w:ascii="Arial" w:hAnsi="Arial" w:cs="Arial"/>
                <w:sz w:val="20"/>
                <w:szCs w:val="20"/>
              </w:rPr>
              <w:t xml:space="preserve">Aida Johana </w:t>
            </w:r>
            <w:r w:rsidR="002B5EE9" w:rsidRPr="009F78DD">
              <w:rPr>
                <w:rFonts w:ascii="Arial" w:hAnsi="Arial" w:cs="Arial"/>
                <w:sz w:val="20"/>
                <w:szCs w:val="20"/>
              </w:rPr>
              <w:t>Yépez</w:t>
            </w:r>
            <w:r w:rsidRPr="009F78DD">
              <w:rPr>
                <w:rFonts w:ascii="Arial" w:hAnsi="Arial" w:cs="Arial"/>
                <w:sz w:val="20"/>
                <w:szCs w:val="20"/>
              </w:rPr>
              <w:t xml:space="preserve"> Trejos</w:t>
            </w:r>
          </w:p>
          <w:p w14:paraId="52FB6799" w14:textId="77777777" w:rsidR="009F78DD" w:rsidRPr="009F78DD" w:rsidRDefault="009F78DD" w:rsidP="009F78DD">
            <w:pPr>
              <w:rPr>
                <w:rFonts w:ascii="Arial" w:hAnsi="Arial" w:cs="Arial"/>
                <w:sz w:val="20"/>
                <w:szCs w:val="20"/>
              </w:rPr>
            </w:pPr>
            <w:r w:rsidRPr="009F78DD">
              <w:rPr>
                <w:rFonts w:ascii="Arial" w:hAnsi="Arial" w:cs="Arial"/>
                <w:sz w:val="20"/>
                <w:szCs w:val="20"/>
              </w:rPr>
              <w:t>Cargo: Profesional Universitario</w:t>
            </w:r>
          </w:p>
          <w:p w14:paraId="7D1A9884" w14:textId="07BAB01E" w:rsidR="00D3208E" w:rsidRPr="00240FC6" w:rsidRDefault="009F78DD" w:rsidP="009F78DD">
            <w:pPr>
              <w:rPr>
                <w:rFonts w:ascii="Arial" w:hAnsi="Arial" w:cs="Arial"/>
                <w:sz w:val="20"/>
                <w:szCs w:val="20"/>
              </w:rPr>
            </w:pPr>
            <w:r w:rsidRPr="009F78DD">
              <w:rPr>
                <w:rFonts w:ascii="Arial" w:hAnsi="Arial" w:cs="Arial"/>
                <w:sz w:val="20"/>
                <w:szCs w:val="20"/>
              </w:rPr>
              <w:t>Fecha:</w:t>
            </w:r>
            <w:r>
              <w:rPr>
                <w:rFonts w:ascii="Arial" w:hAnsi="Arial" w:cs="Arial"/>
                <w:sz w:val="20"/>
                <w:szCs w:val="20"/>
              </w:rPr>
              <w:t xml:space="preserve"> 26/09/2023</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05A0388" w14:textId="77777777" w:rsidR="00D3208E" w:rsidRPr="00240FC6" w:rsidRDefault="00D3208E" w:rsidP="001F4B8E">
            <w:pPr>
              <w:rPr>
                <w:rFonts w:ascii="Arial" w:hAnsi="Arial" w:cs="Arial"/>
                <w:sz w:val="20"/>
                <w:szCs w:val="20"/>
              </w:rPr>
            </w:pPr>
          </w:p>
          <w:p w14:paraId="18462A63" w14:textId="76A1FED4" w:rsidR="00985CF4" w:rsidRPr="00240FC6" w:rsidRDefault="00985CF4" w:rsidP="00985CF4">
            <w:pPr>
              <w:rPr>
                <w:rFonts w:ascii="Arial" w:hAnsi="Arial" w:cs="Arial"/>
                <w:sz w:val="20"/>
                <w:szCs w:val="20"/>
              </w:rPr>
            </w:pPr>
            <w:r w:rsidRPr="00240FC6">
              <w:rPr>
                <w:rFonts w:ascii="Arial" w:hAnsi="Arial" w:cs="Arial"/>
                <w:sz w:val="20"/>
                <w:szCs w:val="20"/>
              </w:rPr>
              <w:t xml:space="preserve">Nombre: </w:t>
            </w:r>
          </w:p>
          <w:p w14:paraId="56D4D15C" w14:textId="77777777" w:rsidR="00985CF4" w:rsidRPr="00240FC6" w:rsidRDefault="00985CF4" w:rsidP="00985CF4">
            <w:pPr>
              <w:rPr>
                <w:rFonts w:ascii="Arial" w:hAnsi="Arial" w:cs="Arial"/>
                <w:sz w:val="20"/>
                <w:szCs w:val="20"/>
              </w:rPr>
            </w:pPr>
            <w:r w:rsidRPr="00240FC6">
              <w:rPr>
                <w:rFonts w:ascii="Arial" w:hAnsi="Arial" w:cs="Arial"/>
                <w:sz w:val="20"/>
                <w:szCs w:val="20"/>
              </w:rPr>
              <w:t xml:space="preserve">Cargo: </w:t>
            </w:r>
          </w:p>
          <w:p w14:paraId="3D70A3E0" w14:textId="77777777" w:rsidR="00985CF4" w:rsidRPr="00240FC6" w:rsidRDefault="00985CF4" w:rsidP="00985CF4">
            <w:pPr>
              <w:rPr>
                <w:rFonts w:ascii="Arial" w:hAnsi="Arial" w:cs="Arial"/>
                <w:sz w:val="20"/>
                <w:szCs w:val="20"/>
              </w:rPr>
            </w:pPr>
            <w:r w:rsidRPr="00240FC6">
              <w:rPr>
                <w:rFonts w:ascii="Arial" w:hAnsi="Arial" w:cs="Arial"/>
                <w:sz w:val="20"/>
                <w:szCs w:val="20"/>
              </w:rPr>
              <w:t xml:space="preserve">Fecha: </w:t>
            </w:r>
          </w:p>
          <w:p w14:paraId="254B922E" w14:textId="77777777" w:rsidR="00D3208E" w:rsidRPr="00240FC6" w:rsidRDefault="00D3208E" w:rsidP="001F4B8E">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F33C554" w14:textId="77777777" w:rsidR="00D3208E" w:rsidRPr="00240FC6" w:rsidRDefault="00D3208E" w:rsidP="001F4B8E">
            <w:pPr>
              <w:rPr>
                <w:rFonts w:ascii="Arial" w:hAnsi="Arial" w:cs="Arial"/>
                <w:sz w:val="20"/>
                <w:szCs w:val="20"/>
              </w:rPr>
            </w:pPr>
          </w:p>
          <w:p w14:paraId="642C4129" w14:textId="77777777" w:rsidR="009C0DF3" w:rsidRDefault="006B444B" w:rsidP="001F4B8E">
            <w:pPr>
              <w:rPr>
                <w:rFonts w:ascii="Arial" w:hAnsi="Arial" w:cs="Arial"/>
                <w:sz w:val="20"/>
                <w:szCs w:val="20"/>
              </w:rPr>
            </w:pPr>
            <w:r>
              <w:rPr>
                <w:rFonts w:ascii="Arial" w:hAnsi="Arial" w:cs="Arial"/>
                <w:sz w:val="20"/>
                <w:szCs w:val="20"/>
              </w:rPr>
              <w:t xml:space="preserve">Nombre: </w:t>
            </w:r>
          </w:p>
          <w:p w14:paraId="60260074" w14:textId="5203504B" w:rsidR="00D3208E" w:rsidRPr="00240FC6" w:rsidRDefault="006B444B" w:rsidP="001F4B8E">
            <w:pPr>
              <w:rPr>
                <w:rFonts w:ascii="Arial" w:hAnsi="Arial" w:cs="Arial"/>
                <w:sz w:val="20"/>
                <w:szCs w:val="20"/>
              </w:rPr>
            </w:pPr>
            <w:r>
              <w:rPr>
                <w:rFonts w:ascii="Arial" w:hAnsi="Arial" w:cs="Arial"/>
                <w:sz w:val="20"/>
                <w:szCs w:val="20"/>
              </w:rPr>
              <w:t>Jesús David Londoño Bedoya</w:t>
            </w:r>
            <w:r w:rsidR="003B5D27" w:rsidRPr="00240FC6">
              <w:rPr>
                <w:rFonts w:ascii="Arial" w:hAnsi="Arial" w:cs="Arial"/>
                <w:sz w:val="20"/>
                <w:szCs w:val="20"/>
              </w:rPr>
              <w:t xml:space="preserve"> </w:t>
            </w:r>
          </w:p>
          <w:p w14:paraId="2CEC5349" w14:textId="0FD9A1CA" w:rsidR="00D3208E" w:rsidRPr="00240FC6" w:rsidRDefault="00D3208E" w:rsidP="001F4B8E">
            <w:pPr>
              <w:rPr>
                <w:rFonts w:ascii="Arial" w:hAnsi="Arial" w:cs="Arial"/>
                <w:sz w:val="20"/>
                <w:szCs w:val="20"/>
              </w:rPr>
            </w:pPr>
            <w:r w:rsidRPr="00240FC6">
              <w:rPr>
                <w:rFonts w:ascii="Arial" w:hAnsi="Arial" w:cs="Arial"/>
                <w:sz w:val="20"/>
                <w:szCs w:val="20"/>
              </w:rPr>
              <w:t xml:space="preserve">Cargo: </w:t>
            </w:r>
            <w:r w:rsidR="006B444B">
              <w:rPr>
                <w:rFonts w:ascii="Arial" w:hAnsi="Arial" w:cs="Arial"/>
                <w:sz w:val="20"/>
                <w:szCs w:val="20"/>
              </w:rPr>
              <w:t>Secretario de Despacho TIC y Competitividad</w:t>
            </w:r>
          </w:p>
          <w:p w14:paraId="0143D5A4" w14:textId="77777777" w:rsidR="00D3208E" w:rsidRPr="00240FC6" w:rsidRDefault="00D3208E" w:rsidP="001F4B8E">
            <w:pPr>
              <w:rPr>
                <w:rFonts w:ascii="Arial" w:hAnsi="Arial" w:cs="Arial"/>
                <w:sz w:val="20"/>
                <w:szCs w:val="20"/>
              </w:rPr>
            </w:pPr>
            <w:r w:rsidRPr="00240FC6">
              <w:rPr>
                <w:rFonts w:ascii="Arial" w:hAnsi="Arial" w:cs="Arial"/>
                <w:sz w:val="20"/>
                <w:szCs w:val="20"/>
              </w:rPr>
              <w:t xml:space="preserve">Fecha: </w:t>
            </w:r>
          </w:p>
        </w:tc>
      </w:tr>
    </w:tbl>
    <w:p w14:paraId="7B3CEE90" w14:textId="77777777" w:rsidR="00D3208E" w:rsidRPr="00240FC6" w:rsidRDefault="00D3208E" w:rsidP="00D3208E">
      <w:pPr>
        <w:jc w:val="center"/>
        <w:rPr>
          <w:rFonts w:ascii="Arial" w:hAnsi="Arial" w:cs="Arial"/>
          <w:sz w:val="20"/>
          <w:szCs w:val="20"/>
        </w:rPr>
      </w:pPr>
    </w:p>
    <w:p w14:paraId="6B98F2DF" w14:textId="77777777" w:rsidR="00D3208E" w:rsidRPr="00240FC6" w:rsidRDefault="00D3208E" w:rsidP="00D3208E">
      <w:pPr>
        <w:tabs>
          <w:tab w:val="left" w:pos="6345"/>
        </w:tabs>
        <w:jc w:val="both"/>
        <w:rPr>
          <w:rFonts w:ascii="Arial" w:hAnsi="Arial" w:cs="Arial"/>
          <w:b/>
          <w:sz w:val="20"/>
          <w:szCs w:val="20"/>
        </w:rPr>
      </w:pPr>
      <w:r w:rsidRPr="00240FC6">
        <w:rPr>
          <w:rFonts w:ascii="Arial" w:hAnsi="Arial" w:cs="Arial"/>
          <w:b/>
          <w:sz w:val="20"/>
          <w:szCs w:val="20"/>
        </w:rPr>
        <w:t xml:space="preserve">                                                                        </w:t>
      </w:r>
    </w:p>
    <w:p w14:paraId="65AA5476" w14:textId="77777777" w:rsidR="00156AF6" w:rsidRPr="00240FC6" w:rsidRDefault="00156AF6">
      <w:pPr>
        <w:rPr>
          <w:rFonts w:ascii="Arial" w:hAnsi="Arial" w:cs="Arial"/>
          <w:sz w:val="20"/>
          <w:szCs w:val="20"/>
        </w:rPr>
      </w:pPr>
    </w:p>
    <w:sectPr w:rsidR="00156AF6" w:rsidRPr="00240FC6" w:rsidSect="00A275DE">
      <w:footerReference w:type="default" r:id="rId12"/>
      <w:headerReference w:type="first" r:id="rId13"/>
      <w:footerReference w:type="first" r:id="rId14"/>
      <w:pgSz w:w="12240" w:h="15840" w:code="1"/>
      <w:pgMar w:top="1418" w:right="1276" w:bottom="2268" w:left="1134" w:header="720"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E0E4C" w14:textId="77777777" w:rsidR="003C1B35" w:rsidRDefault="003C1B35">
      <w:r>
        <w:separator/>
      </w:r>
    </w:p>
  </w:endnote>
  <w:endnote w:type="continuationSeparator" w:id="0">
    <w:p w14:paraId="26698FB9" w14:textId="77777777" w:rsidR="003C1B35" w:rsidRDefault="003C1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Futura Lt BT">
    <w:altName w:val="Segoe UI"/>
    <w:panose1 w:val="020B0402020204020303"/>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0C17" w14:textId="77777777" w:rsidR="00772F9F" w:rsidRPr="007870EA" w:rsidRDefault="00772F9F" w:rsidP="006B0F1F">
    <w:pPr>
      <w:pStyle w:val="Piedepgina"/>
      <w:jc w:val="center"/>
      <w:rPr>
        <w:rFonts w:ascii="Verdana" w:hAnsi="Verdana"/>
        <w:sz w:val="18"/>
        <w:szCs w:val="18"/>
        <w:lang w:val="es-CO"/>
      </w:rPr>
    </w:pPr>
  </w:p>
  <w:p w14:paraId="3384B17D" w14:textId="0B119719" w:rsidR="00772F9F" w:rsidRPr="006B0F1F" w:rsidRDefault="001F6A33">
    <w:pPr>
      <w:pStyle w:val="Piedepgina"/>
      <w:jc w:val="center"/>
      <w:rPr>
        <w:rFonts w:ascii="Verdana" w:hAnsi="Verdana" w:cs="Arial"/>
        <w:b/>
        <w:sz w:val="20"/>
        <w:szCs w:val="20"/>
        <w:lang w:val="es-MX"/>
      </w:rPr>
    </w:pPr>
    <w:r>
      <w:rPr>
        <w:rFonts w:ascii="Arial" w:hAnsi="Arial" w:cs="Arial"/>
        <w:b/>
        <w:sz w:val="26"/>
        <w:lang w:val="es-MX"/>
      </w:rPr>
      <w:tab/>
    </w:r>
    <w:r>
      <w:rPr>
        <w:rFonts w:ascii="Arial" w:hAnsi="Arial" w:cs="Arial"/>
        <w:b/>
        <w:sz w:val="26"/>
        <w:lang w:val="es-MX"/>
      </w:rPr>
      <w:tab/>
    </w:r>
    <w:r>
      <w:rPr>
        <w:rFonts w:ascii="Arial" w:hAnsi="Arial" w:cs="Arial"/>
        <w:b/>
        <w:sz w:val="26"/>
        <w:lang w:val="es-MX"/>
      </w:rPr>
      <w:tab/>
    </w:r>
    <w:r>
      <w:rPr>
        <w:rFonts w:ascii="Arial" w:hAnsi="Arial" w:cs="Arial"/>
        <w:b/>
        <w:sz w:val="26"/>
        <w:lang w:val="es-MX"/>
      </w:rPr>
      <w:tab/>
    </w:r>
    <w:r>
      <w:rPr>
        <w:rFonts w:ascii="Arial" w:hAnsi="Arial" w:cs="Arial"/>
        <w:b/>
        <w:sz w:val="26"/>
        <w:lang w:val="es-MX"/>
      </w:rPr>
      <w:tab/>
    </w:r>
    <w:r>
      <w:rPr>
        <w:rFonts w:ascii="Arial" w:hAnsi="Arial" w:cs="Arial"/>
        <w:b/>
        <w:sz w:val="26"/>
        <w:lang w:val="es-MX"/>
      </w:rPr>
      <w:tab/>
    </w:r>
    <w:r>
      <w:rPr>
        <w:rFonts w:ascii="Arial" w:hAnsi="Arial" w:cs="Arial"/>
        <w:b/>
        <w:sz w:val="26"/>
        <w:lang w:val="es-MX"/>
      </w:rPr>
      <w:tab/>
    </w:r>
    <w:r w:rsidRPr="006B0F1F">
      <w:rPr>
        <w:rFonts w:ascii="Verdana" w:hAnsi="Verdana" w:cs="Arial"/>
        <w:b/>
        <w:sz w:val="20"/>
        <w:szCs w:val="20"/>
        <w:lang w:val="es-MX"/>
      </w:rPr>
      <w:t xml:space="preserve">Página </w:t>
    </w:r>
    <w:r w:rsidRPr="006B0F1F">
      <w:rPr>
        <w:rFonts w:ascii="Verdana" w:hAnsi="Verdana" w:cs="Arial"/>
        <w:b/>
        <w:sz w:val="20"/>
        <w:szCs w:val="20"/>
        <w:lang w:val="es-MX"/>
      </w:rPr>
      <w:fldChar w:fldCharType="begin"/>
    </w:r>
    <w:r w:rsidRPr="006B0F1F">
      <w:rPr>
        <w:rFonts w:ascii="Verdana" w:hAnsi="Verdana" w:cs="Arial"/>
        <w:b/>
        <w:sz w:val="20"/>
        <w:szCs w:val="20"/>
        <w:lang w:val="es-MX"/>
      </w:rPr>
      <w:instrText xml:space="preserve"> PAGE </w:instrText>
    </w:r>
    <w:r w:rsidRPr="006B0F1F">
      <w:rPr>
        <w:rFonts w:ascii="Verdana" w:hAnsi="Verdana" w:cs="Arial"/>
        <w:b/>
        <w:sz w:val="20"/>
        <w:szCs w:val="20"/>
        <w:lang w:val="es-MX"/>
      </w:rPr>
      <w:fldChar w:fldCharType="separate"/>
    </w:r>
    <w:r w:rsidR="00A275DE">
      <w:rPr>
        <w:rFonts w:ascii="Verdana" w:hAnsi="Verdana" w:cs="Arial"/>
        <w:b/>
        <w:noProof/>
        <w:sz w:val="20"/>
        <w:szCs w:val="20"/>
        <w:lang w:val="es-MX"/>
      </w:rPr>
      <w:t>5</w:t>
    </w:r>
    <w:r w:rsidRPr="006B0F1F">
      <w:rPr>
        <w:rFonts w:ascii="Verdana" w:hAnsi="Verdana" w:cs="Arial"/>
        <w:b/>
        <w:sz w:val="20"/>
        <w:szCs w:val="20"/>
        <w:lang w:val="es-MX"/>
      </w:rPr>
      <w:fldChar w:fldCharType="end"/>
    </w:r>
    <w:r w:rsidRPr="006B0F1F">
      <w:rPr>
        <w:rFonts w:ascii="Verdana" w:hAnsi="Verdana" w:cs="Arial"/>
        <w:b/>
        <w:sz w:val="20"/>
        <w:szCs w:val="20"/>
        <w:lang w:val="es-MX"/>
      </w:rPr>
      <w:t xml:space="preserve"> de </w:t>
    </w:r>
    <w:r w:rsidRPr="006B0F1F">
      <w:rPr>
        <w:rFonts w:ascii="Verdana" w:hAnsi="Verdana" w:cs="Arial"/>
        <w:b/>
        <w:sz w:val="20"/>
        <w:szCs w:val="20"/>
        <w:lang w:val="es-MX"/>
      </w:rPr>
      <w:fldChar w:fldCharType="begin"/>
    </w:r>
    <w:r w:rsidRPr="006B0F1F">
      <w:rPr>
        <w:rFonts w:ascii="Verdana" w:hAnsi="Verdana" w:cs="Arial"/>
        <w:b/>
        <w:sz w:val="20"/>
        <w:szCs w:val="20"/>
        <w:lang w:val="es-MX"/>
      </w:rPr>
      <w:instrText xml:space="preserve"> NUMPAGES </w:instrText>
    </w:r>
    <w:r w:rsidRPr="006B0F1F">
      <w:rPr>
        <w:rFonts w:ascii="Verdana" w:hAnsi="Verdana" w:cs="Arial"/>
        <w:b/>
        <w:sz w:val="20"/>
        <w:szCs w:val="20"/>
        <w:lang w:val="es-MX"/>
      </w:rPr>
      <w:fldChar w:fldCharType="separate"/>
    </w:r>
    <w:r w:rsidR="00A275DE">
      <w:rPr>
        <w:rFonts w:ascii="Verdana" w:hAnsi="Verdana" w:cs="Arial"/>
        <w:b/>
        <w:noProof/>
        <w:sz w:val="20"/>
        <w:szCs w:val="20"/>
        <w:lang w:val="es-MX"/>
      </w:rPr>
      <w:t>5</w:t>
    </w:r>
    <w:r w:rsidRPr="006B0F1F">
      <w:rPr>
        <w:rFonts w:ascii="Verdana" w:hAnsi="Verdana" w:cs="Arial"/>
        <w:b/>
        <w:sz w:val="20"/>
        <w:szCs w:val="20"/>
        <w:lang w:val="es-MX"/>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B9FB" w14:textId="77777777" w:rsidR="00772F9F" w:rsidRPr="00887523" w:rsidRDefault="00D3208E" w:rsidP="00AD256D">
    <w:pPr>
      <w:pStyle w:val="Encabezado"/>
      <w:jc w:val="center"/>
      <w:rPr>
        <w:rFonts w:ascii="Calibri" w:hAnsi="Calibri"/>
        <w:b/>
        <w:noProof/>
        <w:color w:val="000000"/>
        <w:sz w:val="22"/>
        <w:szCs w:val="22"/>
        <w:lang w:val="es-CO"/>
      </w:rPr>
    </w:pPr>
    <w:r w:rsidRPr="00887523">
      <w:rPr>
        <w:rFonts w:ascii="Calibri" w:hAnsi="Calibri"/>
        <w:noProof/>
        <w:sz w:val="22"/>
        <w:szCs w:val="22"/>
        <w:lang w:val="es-CO" w:eastAsia="es-CO"/>
      </w:rPr>
      <mc:AlternateContent>
        <mc:Choice Requires="wps">
          <w:drawing>
            <wp:anchor distT="0" distB="0" distL="114300" distR="114300" simplePos="0" relativeHeight="251660288" behindDoc="0" locked="0" layoutInCell="1" allowOverlap="1" wp14:anchorId="2EB87252" wp14:editId="7506817D">
              <wp:simplePos x="0" y="0"/>
              <wp:positionH relativeFrom="margin">
                <wp:posOffset>620395</wp:posOffset>
              </wp:positionH>
              <wp:positionV relativeFrom="paragraph">
                <wp:posOffset>6443980</wp:posOffset>
              </wp:positionV>
              <wp:extent cx="6096000" cy="392430"/>
              <wp:effectExtent l="0" t="0" r="0" b="76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392430"/>
                      </a:xfrm>
                      <a:prstGeom prst="rect">
                        <a:avLst/>
                      </a:prstGeom>
                      <a:noFill/>
                      <a:ln>
                        <a:noFill/>
                      </a:ln>
                      <a:effectLst/>
                    </wps:spPr>
                    <wps:txbx>
                      <w:txbxContent>
                        <w:p w14:paraId="6F5C06E5" w14:textId="77777777" w:rsidR="00772F9F" w:rsidRPr="00AD256D" w:rsidRDefault="001F6A33" w:rsidP="00AD256D">
                          <w:pPr>
                            <w:pStyle w:val="Encabezado"/>
                            <w:jc w:val="center"/>
                            <w:rPr>
                              <w:b/>
                              <w:noProof/>
                              <w:color w:val="000000"/>
                              <w:lang w:val="es-CO"/>
                            </w:rPr>
                          </w:pPr>
                          <w:r w:rsidRPr="00AD256D">
                            <w:rPr>
                              <w:b/>
                              <w:noProof/>
                              <w:color w:val="000000"/>
                              <w:lang w:val="es-CO"/>
                            </w:rPr>
                            <w:t>ALCALDÍA DE MANIZALES</w:t>
                          </w:r>
                        </w:p>
                        <w:p w14:paraId="38816C5D" w14:textId="77777777" w:rsidR="00772F9F" w:rsidRPr="00AD256D" w:rsidRDefault="001F6A33" w:rsidP="00AD256D">
                          <w:pPr>
                            <w:pStyle w:val="Encabezado"/>
                            <w:jc w:val="center"/>
                            <w:rPr>
                              <w:b/>
                              <w:noProof/>
                              <w:color w:val="000000"/>
                              <w:lang w:val="es-CO"/>
                            </w:rPr>
                          </w:pPr>
                          <w:r w:rsidRPr="00AD256D">
                            <w:rPr>
                              <w:b/>
                              <w:noProof/>
                              <w:color w:val="000000"/>
                              <w:lang w:val="es-CO"/>
                            </w:rPr>
                            <w:t>Calle 19 N° 21-44 Propiedad Horizontal CAM</w:t>
                          </w:r>
                        </w:p>
                        <w:p w14:paraId="5826F849" w14:textId="77777777" w:rsidR="00772F9F" w:rsidRPr="00AD256D" w:rsidRDefault="001F6A33" w:rsidP="00AD256D">
                          <w:pPr>
                            <w:pStyle w:val="Encabezado"/>
                            <w:jc w:val="center"/>
                            <w:rPr>
                              <w:b/>
                              <w:noProof/>
                              <w:color w:val="000000"/>
                              <w:lang w:val="es-CO"/>
                            </w:rPr>
                          </w:pPr>
                          <w:r w:rsidRPr="00AD256D">
                            <w:rPr>
                              <w:b/>
                              <w:noProof/>
                              <w:color w:val="000000"/>
                              <w:lang w:val="es-CO"/>
                            </w:rPr>
                            <w:t>Teléfono 887 97 00 ext.71500 – Código postal 170001 – Atención al Cliente 018000 968988</w:t>
                          </w:r>
                        </w:p>
                        <w:p w14:paraId="6A0FF3D1" w14:textId="77777777" w:rsidR="00772F9F" w:rsidRPr="00AD256D" w:rsidRDefault="001F6A33" w:rsidP="00AD256D">
                          <w:pPr>
                            <w:pStyle w:val="Encabezado"/>
                            <w:jc w:val="center"/>
                            <w:rPr>
                              <w:b/>
                              <w:noProof/>
                              <w:color w:val="000000"/>
                              <w:lang w:val="es-CO"/>
                            </w:rPr>
                          </w:pPr>
                          <w:r w:rsidRPr="00AD256D">
                            <w:rPr>
                              <w:b/>
                              <w:noProof/>
                              <w:color w:val="000000"/>
                              <w:lang w:val="es-CO"/>
                            </w:rPr>
                            <w:t>www.manizales.gov.co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2EB87252" id="_x0000_t202" coordsize="21600,21600" o:spt="202" path="m,l,21600r21600,l21600,xe">
              <v:stroke joinstyle="miter"/>
              <v:path gradientshapeok="t" o:connecttype="rect"/>
            </v:shapetype>
            <v:shape id="Cuadro de texto 1" o:spid="_x0000_s1026" type="#_x0000_t202" style="position:absolute;left:0;text-align:left;margin-left:48.85pt;margin-top:507.4pt;width:480pt;height:30.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" filled="f" stroked="f">
              <v:path arrowok="t"/>
              <v:textbox style="mso-fit-shape-to-text:t">
                <w:txbxContent>
                  <w:p w14:paraId="6F5C06E5" w14:textId="77777777" w:rsidR="00772F9F" w:rsidRPr="00AD256D" w:rsidRDefault="001F6A33" w:rsidP="00AD256D">
                    <w:pPr>
                      <w:pStyle w:val="Encabezado"/>
                      <w:jc w:val="center"/>
                      <w:rPr>
                        <w:b/>
                        <w:noProof/>
                        <w:color w:val="000000"/>
                        <w:lang w:val="es-CO"/>
                      </w:rPr>
                    </w:pPr>
                    <w:r w:rsidRPr="00AD256D">
                      <w:rPr>
                        <w:b/>
                        <w:noProof/>
                        <w:color w:val="000000"/>
                        <w:lang w:val="es-CO"/>
                      </w:rPr>
                      <w:t>ALCALDÍA DE MANIZALES</w:t>
                    </w:r>
                  </w:p>
                  <w:p w14:paraId="38816C5D" w14:textId="77777777" w:rsidR="00772F9F" w:rsidRPr="00AD256D" w:rsidRDefault="001F6A33" w:rsidP="00AD256D">
                    <w:pPr>
                      <w:pStyle w:val="Encabezado"/>
                      <w:jc w:val="center"/>
                      <w:rPr>
                        <w:b/>
                        <w:noProof/>
                        <w:color w:val="000000"/>
                        <w:lang w:val="es-CO"/>
                      </w:rPr>
                    </w:pPr>
                    <w:r w:rsidRPr="00AD256D">
                      <w:rPr>
                        <w:b/>
                        <w:noProof/>
                        <w:color w:val="000000"/>
                        <w:lang w:val="es-CO"/>
                      </w:rPr>
                      <w:t>Calle 19 N° 21-44 Propiedad Horizontal CAM</w:t>
                    </w:r>
                  </w:p>
                  <w:p w14:paraId="5826F849" w14:textId="77777777" w:rsidR="00772F9F" w:rsidRPr="00AD256D" w:rsidRDefault="001F6A33" w:rsidP="00AD256D">
                    <w:pPr>
                      <w:pStyle w:val="Encabezado"/>
                      <w:jc w:val="center"/>
                      <w:rPr>
                        <w:b/>
                        <w:noProof/>
                        <w:color w:val="000000"/>
                        <w:lang w:val="es-CO"/>
                      </w:rPr>
                    </w:pPr>
                    <w:r w:rsidRPr="00AD256D">
                      <w:rPr>
                        <w:b/>
                        <w:noProof/>
                        <w:color w:val="000000"/>
                        <w:lang w:val="es-CO"/>
                      </w:rPr>
                      <w:t>Teléfono 887 97 00 ext.71500 – Código postal 170001 – Atención al Cliente 018000 968988</w:t>
                    </w:r>
                  </w:p>
                  <w:p w14:paraId="6A0FF3D1" w14:textId="77777777" w:rsidR="00772F9F" w:rsidRPr="00AD256D" w:rsidRDefault="001F6A33" w:rsidP="00AD256D">
                    <w:pPr>
                      <w:pStyle w:val="Encabezado"/>
                      <w:jc w:val="center"/>
                      <w:rPr>
                        <w:b/>
                        <w:noProof/>
                        <w:color w:val="000000"/>
                        <w:lang w:val="es-CO"/>
                      </w:rPr>
                    </w:pPr>
                    <w:r w:rsidRPr="00AD256D">
                      <w:rPr>
                        <w:b/>
                        <w:noProof/>
                        <w:color w:val="000000"/>
                        <w:lang w:val="es-CO"/>
                      </w:rPr>
                      <w:t>www.manizales.gov.co</w:t>
                    </w:r>
                  </w:p>
                </w:txbxContent>
              </v:textbox>
              <w10:wrap anchorx="margin"/>
            </v:shape>
          </w:pict>
        </mc:Fallback>
      </mc:AlternateContent>
    </w:r>
    <w:r w:rsidRPr="00887523">
      <w:rPr>
        <w:rFonts w:ascii="Calibri" w:hAnsi="Calibri"/>
        <w:noProof/>
        <w:sz w:val="22"/>
        <w:szCs w:val="22"/>
        <w:lang w:val="es-CO" w:eastAsia="es-CO"/>
      </w:rPr>
      <mc:AlternateContent>
        <mc:Choice Requires="wps">
          <w:drawing>
            <wp:anchor distT="0" distB="0" distL="114300" distR="114300" simplePos="0" relativeHeight="251661312" behindDoc="0" locked="0" layoutInCell="1" allowOverlap="1" wp14:anchorId="15A2801D" wp14:editId="16199B00">
              <wp:simplePos x="0" y="0"/>
              <wp:positionH relativeFrom="margin">
                <wp:posOffset>620395</wp:posOffset>
              </wp:positionH>
              <wp:positionV relativeFrom="paragraph">
                <wp:posOffset>6443980</wp:posOffset>
              </wp:positionV>
              <wp:extent cx="6096000" cy="392430"/>
              <wp:effectExtent l="0" t="0" r="0" b="762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392430"/>
                      </a:xfrm>
                      <a:prstGeom prst="rect">
                        <a:avLst/>
                      </a:prstGeom>
                      <a:noFill/>
                      <a:ln>
                        <a:noFill/>
                      </a:ln>
                      <a:effectLst/>
                    </wps:spPr>
                    <wps:txbx>
                      <w:txbxContent>
                        <w:p w14:paraId="632593A2" w14:textId="77777777" w:rsidR="00772F9F" w:rsidRPr="00AD256D" w:rsidRDefault="001F6A33" w:rsidP="00AD256D">
                          <w:pPr>
                            <w:pStyle w:val="Encabezado"/>
                            <w:jc w:val="center"/>
                            <w:rPr>
                              <w:b/>
                              <w:noProof/>
                              <w:color w:val="000000"/>
                              <w:lang w:val="es-CO"/>
                            </w:rPr>
                          </w:pPr>
                          <w:r w:rsidRPr="00AD256D">
                            <w:rPr>
                              <w:b/>
                              <w:noProof/>
                              <w:color w:val="000000"/>
                              <w:lang w:val="es-CO"/>
                            </w:rPr>
                            <w:t>ALCALDÍA DE MANIZALES</w:t>
                          </w:r>
                        </w:p>
                        <w:p w14:paraId="339D86A5" w14:textId="77777777" w:rsidR="00772F9F" w:rsidRPr="00AD256D" w:rsidRDefault="001F6A33" w:rsidP="00AD256D">
                          <w:pPr>
                            <w:pStyle w:val="Encabezado"/>
                            <w:jc w:val="center"/>
                            <w:rPr>
                              <w:b/>
                              <w:noProof/>
                              <w:color w:val="000000"/>
                              <w:lang w:val="es-CO"/>
                            </w:rPr>
                          </w:pPr>
                          <w:r w:rsidRPr="00AD256D">
                            <w:rPr>
                              <w:b/>
                              <w:noProof/>
                              <w:color w:val="000000"/>
                              <w:lang w:val="es-CO"/>
                            </w:rPr>
                            <w:t>Calle 19 N° 21-44 Propiedad Horizontal CAM</w:t>
                          </w:r>
                        </w:p>
                        <w:p w14:paraId="3D43303F" w14:textId="77777777" w:rsidR="00772F9F" w:rsidRPr="00AD256D" w:rsidRDefault="001F6A33" w:rsidP="00AD256D">
                          <w:pPr>
                            <w:pStyle w:val="Encabezado"/>
                            <w:jc w:val="center"/>
                            <w:rPr>
                              <w:b/>
                              <w:noProof/>
                              <w:color w:val="000000"/>
                              <w:lang w:val="es-CO"/>
                            </w:rPr>
                          </w:pPr>
                          <w:r w:rsidRPr="00AD256D">
                            <w:rPr>
                              <w:b/>
                              <w:noProof/>
                              <w:color w:val="000000"/>
                              <w:lang w:val="es-CO"/>
                            </w:rPr>
                            <w:t>Teléfono 887 97 00 ext.71500 – Código postal 170001 – Atención al Cliente 018000 968988</w:t>
                          </w:r>
                        </w:p>
                        <w:p w14:paraId="559EC597" w14:textId="77777777" w:rsidR="00772F9F" w:rsidRPr="00AD256D" w:rsidRDefault="001F6A33" w:rsidP="00AD256D">
                          <w:pPr>
                            <w:pStyle w:val="Encabezado"/>
                            <w:jc w:val="center"/>
                            <w:rPr>
                              <w:b/>
                              <w:noProof/>
                              <w:color w:val="000000"/>
                              <w:lang w:val="es-CO"/>
                            </w:rPr>
                          </w:pPr>
                          <w:r w:rsidRPr="00AD256D">
                            <w:rPr>
                              <w:b/>
                              <w:noProof/>
                              <w:color w:val="000000"/>
                              <w:lang w:val="es-CO"/>
                            </w:rPr>
                            <w:t>www.manizales.gov.co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5A2801D" id="Cuadro de texto 4" o:spid="_x0000_s1027" type="#_x0000_t202" style="position:absolute;left:0;text-align:left;margin-left:48.85pt;margin-top:507.4pt;width:480pt;height:30.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" filled="f" stroked="f">
              <v:path arrowok="t"/>
              <v:textbox style="mso-fit-shape-to-text:t">
                <w:txbxContent>
                  <w:p w14:paraId="632593A2" w14:textId="77777777" w:rsidR="00772F9F" w:rsidRPr="00AD256D" w:rsidRDefault="001F6A33" w:rsidP="00AD256D">
                    <w:pPr>
                      <w:pStyle w:val="Encabezado"/>
                      <w:jc w:val="center"/>
                      <w:rPr>
                        <w:b/>
                        <w:noProof/>
                        <w:color w:val="000000"/>
                        <w:lang w:val="es-CO"/>
                      </w:rPr>
                    </w:pPr>
                    <w:r w:rsidRPr="00AD256D">
                      <w:rPr>
                        <w:b/>
                        <w:noProof/>
                        <w:color w:val="000000"/>
                        <w:lang w:val="es-CO"/>
                      </w:rPr>
                      <w:t>ALCALDÍA DE MANIZALES</w:t>
                    </w:r>
                  </w:p>
                  <w:p w14:paraId="339D86A5" w14:textId="77777777" w:rsidR="00772F9F" w:rsidRPr="00AD256D" w:rsidRDefault="001F6A33" w:rsidP="00AD256D">
                    <w:pPr>
                      <w:pStyle w:val="Encabezado"/>
                      <w:jc w:val="center"/>
                      <w:rPr>
                        <w:b/>
                        <w:noProof/>
                        <w:color w:val="000000"/>
                        <w:lang w:val="es-CO"/>
                      </w:rPr>
                    </w:pPr>
                    <w:r w:rsidRPr="00AD256D">
                      <w:rPr>
                        <w:b/>
                        <w:noProof/>
                        <w:color w:val="000000"/>
                        <w:lang w:val="es-CO"/>
                      </w:rPr>
                      <w:t>Calle 19 N° 21-44 Propiedad Horizontal CAM</w:t>
                    </w:r>
                  </w:p>
                  <w:p w14:paraId="3D43303F" w14:textId="77777777" w:rsidR="00772F9F" w:rsidRPr="00AD256D" w:rsidRDefault="001F6A33" w:rsidP="00AD256D">
                    <w:pPr>
                      <w:pStyle w:val="Encabezado"/>
                      <w:jc w:val="center"/>
                      <w:rPr>
                        <w:b/>
                        <w:noProof/>
                        <w:color w:val="000000"/>
                        <w:lang w:val="es-CO"/>
                      </w:rPr>
                    </w:pPr>
                    <w:r w:rsidRPr="00AD256D">
                      <w:rPr>
                        <w:b/>
                        <w:noProof/>
                        <w:color w:val="000000"/>
                        <w:lang w:val="es-CO"/>
                      </w:rPr>
                      <w:t>Teléfono 887 97 00 ext.71500 – Código postal 170001 – Atención al Cliente 018000 968988</w:t>
                    </w:r>
                  </w:p>
                  <w:p w14:paraId="559EC597" w14:textId="77777777" w:rsidR="00772F9F" w:rsidRPr="00AD256D" w:rsidRDefault="001F6A33" w:rsidP="00AD256D">
                    <w:pPr>
                      <w:pStyle w:val="Encabezado"/>
                      <w:jc w:val="center"/>
                      <w:rPr>
                        <w:b/>
                        <w:noProof/>
                        <w:color w:val="000000"/>
                        <w:lang w:val="es-CO"/>
                      </w:rPr>
                    </w:pPr>
                    <w:r w:rsidRPr="00AD256D">
                      <w:rPr>
                        <w:b/>
                        <w:noProof/>
                        <w:color w:val="000000"/>
                        <w:lang w:val="es-CO"/>
                      </w:rPr>
                      <w:t>www.manizales.gov.co</w:t>
                    </w:r>
                  </w:p>
                </w:txbxContent>
              </v:textbox>
              <w10:wrap anchorx="margin"/>
            </v:shape>
          </w:pict>
        </mc:Fallback>
      </mc:AlternateContent>
    </w:r>
    <w:r w:rsidR="001F6A33" w:rsidRPr="00887523">
      <w:rPr>
        <w:rFonts w:ascii="Calibri" w:hAnsi="Calibri"/>
        <w:b/>
        <w:noProof/>
        <w:color w:val="000000"/>
        <w:sz w:val="22"/>
        <w:szCs w:val="22"/>
        <w:lang w:val="es-CO"/>
      </w:rPr>
      <w:t xml:space="preserve"> ALCALDÍA DE MANIZALES</w:t>
    </w:r>
  </w:p>
  <w:p w14:paraId="47FC85F5" w14:textId="77777777" w:rsidR="00772F9F" w:rsidRPr="00887523" w:rsidRDefault="001F6A33" w:rsidP="00AD256D">
    <w:pPr>
      <w:pStyle w:val="Encabezado"/>
      <w:jc w:val="center"/>
      <w:rPr>
        <w:rFonts w:ascii="Calibri" w:hAnsi="Calibri"/>
        <w:b/>
        <w:noProof/>
        <w:color w:val="000000"/>
        <w:sz w:val="22"/>
        <w:szCs w:val="22"/>
        <w:lang w:val="es-CO"/>
      </w:rPr>
    </w:pPr>
    <w:r w:rsidRPr="00887523">
      <w:rPr>
        <w:rFonts w:ascii="Calibri" w:hAnsi="Calibri"/>
        <w:b/>
        <w:noProof/>
        <w:color w:val="000000"/>
        <w:sz w:val="22"/>
        <w:szCs w:val="22"/>
        <w:lang w:val="es-CO"/>
      </w:rPr>
      <w:t>Calle 19 N° 21-44 Propiedad Horizontal CAM</w:t>
    </w:r>
  </w:p>
  <w:p w14:paraId="3DABF58D" w14:textId="77777777" w:rsidR="00772F9F" w:rsidRPr="00887523" w:rsidRDefault="001F6A33" w:rsidP="00AD256D">
    <w:pPr>
      <w:pStyle w:val="Encabezado"/>
      <w:jc w:val="center"/>
      <w:rPr>
        <w:rFonts w:ascii="Calibri" w:hAnsi="Calibri"/>
        <w:b/>
        <w:noProof/>
        <w:color w:val="000000"/>
        <w:sz w:val="22"/>
        <w:szCs w:val="22"/>
        <w:lang w:val="es-CO"/>
      </w:rPr>
    </w:pPr>
    <w:r w:rsidRPr="00887523">
      <w:rPr>
        <w:rFonts w:ascii="Calibri" w:hAnsi="Calibri"/>
        <w:b/>
        <w:noProof/>
        <w:color w:val="000000"/>
        <w:sz w:val="22"/>
        <w:szCs w:val="22"/>
        <w:lang w:val="es-CO"/>
      </w:rPr>
      <w:t>Teléfono 887 97 00 ext.71500 – Código postal 170001 – Atención al Cliente 018000 968988</w:t>
    </w:r>
  </w:p>
  <w:p w14:paraId="08F80222" w14:textId="77777777" w:rsidR="00772F9F" w:rsidRPr="00887523" w:rsidRDefault="001F6A33" w:rsidP="00AD256D">
    <w:pPr>
      <w:pStyle w:val="Encabezado"/>
      <w:jc w:val="center"/>
      <w:rPr>
        <w:rFonts w:ascii="Calibri" w:hAnsi="Calibri"/>
        <w:b/>
        <w:noProof/>
        <w:color w:val="000000"/>
        <w:sz w:val="22"/>
        <w:szCs w:val="22"/>
        <w:lang w:val="es-CO"/>
      </w:rPr>
    </w:pPr>
    <w:r w:rsidRPr="00887523">
      <w:rPr>
        <w:rFonts w:ascii="Calibri" w:hAnsi="Calibri"/>
        <w:b/>
        <w:noProof/>
        <w:color w:val="000000"/>
        <w:sz w:val="22"/>
        <w:szCs w:val="22"/>
        <w:lang w:val="es-CO"/>
      </w:rPr>
      <w:t>www.manizales.gov.co</w:t>
    </w:r>
  </w:p>
  <w:p w14:paraId="2D769903" w14:textId="77777777" w:rsidR="00772F9F" w:rsidRDefault="00772F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B2C90" w14:textId="77777777" w:rsidR="003C1B35" w:rsidRDefault="003C1B35">
      <w:r>
        <w:separator/>
      </w:r>
    </w:p>
  </w:footnote>
  <w:footnote w:type="continuationSeparator" w:id="0">
    <w:p w14:paraId="3FA9C457" w14:textId="77777777" w:rsidR="003C1B35" w:rsidRDefault="003C1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2D094" w14:textId="77777777" w:rsidR="00772F9F" w:rsidRDefault="00D3208E">
    <w:pPr>
      <w:pStyle w:val="Encabezado"/>
    </w:pPr>
    <w:r>
      <w:rPr>
        <w:noProof/>
        <w:lang w:val="es-CO" w:eastAsia="es-CO"/>
      </w:rPr>
      <w:drawing>
        <wp:anchor distT="0" distB="0" distL="114300" distR="114300" simplePos="0" relativeHeight="251659264" behindDoc="0" locked="0" layoutInCell="1" allowOverlap="1" wp14:anchorId="5C17ACA6" wp14:editId="13473B3E">
          <wp:simplePos x="0" y="0"/>
          <wp:positionH relativeFrom="column">
            <wp:posOffset>67945</wp:posOffset>
          </wp:positionH>
          <wp:positionV relativeFrom="paragraph">
            <wp:posOffset>114935</wp:posOffset>
          </wp:positionV>
          <wp:extent cx="720090" cy="1028700"/>
          <wp:effectExtent l="0" t="0" r="381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586DB9" w14:textId="77777777" w:rsidR="00772F9F" w:rsidRDefault="00772F9F">
    <w:pPr>
      <w:pStyle w:val="Encabezado"/>
    </w:pPr>
  </w:p>
  <w:p w14:paraId="14760F47" w14:textId="77777777" w:rsidR="00772F9F" w:rsidRDefault="00772F9F">
    <w:pPr>
      <w:pStyle w:val="Encabezado"/>
    </w:pPr>
  </w:p>
  <w:p w14:paraId="1034CBB2" w14:textId="77777777" w:rsidR="00772F9F" w:rsidRDefault="00772F9F">
    <w:pPr>
      <w:pStyle w:val="Encabezado"/>
    </w:pPr>
  </w:p>
  <w:p w14:paraId="54772848" w14:textId="77777777" w:rsidR="00772F9F" w:rsidRDefault="00772F9F">
    <w:pPr>
      <w:pStyle w:val="Encabezado"/>
    </w:pPr>
  </w:p>
  <w:p w14:paraId="7A5129F8" w14:textId="77777777" w:rsidR="00772F9F" w:rsidRDefault="00772F9F">
    <w:pPr>
      <w:pStyle w:val="Encabezado"/>
    </w:pPr>
  </w:p>
  <w:p w14:paraId="16C40ACE" w14:textId="77777777" w:rsidR="00772F9F" w:rsidRDefault="00772F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17E9"/>
    <w:multiLevelType w:val="hybridMultilevel"/>
    <w:tmpl w:val="F92EF3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8E7F10"/>
    <w:multiLevelType w:val="hybridMultilevel"/>
    <w:tmpl w:val="2834DC8E"/>
    <w:lvl w:ilvl="0" w:tplc="9A9A6E4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140E84"/>
    <w:multiLevelType w:val="hybridMultilevel"/>
    <w:tmpl w:val="184442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E94FEA"/>
    <w:multiLevelType w:val="hybridMultilevel"/>
    <w:tmpl w:val="DD5CC3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0AF76683"/>
    <w:multiLevelType w:val="hybridMultilevel"/>
    <w:tmpl w:val="71F2AF08"/>
    <w:lvl w:ilvl="0" w:tplc="16948330">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4255E9"/>
    <w:multiLevelType w:val="hybridMultilevel"/>
    <w:tmpl w:val="4AD8C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7B65213"/>
    <w:multiLevelType w:val="hybridMultilevel"/>
    <w:tmpl w:val="FF7CDD3E"/>
    <w:lvl w:ilvl="0" w:tplc="0C0A000F">
      <w:start w:val="1"/>
      <w:numFmt w:val="decimal"/>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957578F"/>
    <w:multiLevelType w:val="hybridMultilevel"/>
    <w:tmpl w:val="5DC000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95B7043"/>
    <w:multiLevelType w:val="hybridMultilevel"/>
    <w:tmpl w:val="155EF5D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 w15:restartNumberingAfterBreak="0">
    <w:nsid w:val="2DF7289F"/>
    <w:multiLevelType w:val="hybridMultilevel"/>
    <w:tmpl w:val="378425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E651D53"/>
    <w:multiLevelType w:val="hybridMultilevel"/>
    <w:tmpl w:val="63E0DE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D801F0E"/>
    <w:multiLevelType w:val="hybridMultilevel"/>
    <w:tmpl w:val="06FE9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5451A8D"/>
    <w:multiLevelType w:val="hybridMultilevel"/>
    <w:tmpl w:val="B48259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68053DF"/>
    <w:multiLevelType w:val="hybridMultilevel"/>
    <w:tmpl w:val="C7AA559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9BC7379"/>
    <w:multiLevelType w:val="hybridMultilevel"/>
    <w:tmpl w:val="5BE602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F26343F"/>
    <w:multiLevelType w:val="hybridMultilevel"/>
    <w:tmpl w:val="E4A895A2"/>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5C37316"/>
    <w:multiLevelType w:val="hybridMultilevel"/>
    <w:tmpl w:val="581EEA02"/>
    <w:lvl w:ilvl="0" w:tplc="240A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5BDC49A7"/>
    <w:multiLevelType w:val="hybridMultilevel"/>
    <w:tmpl w:val="B73AE46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63F50BA9"/>
    <w:multiLevelType w:val="hybridMultilevel"/>
    <w:tmpl w:val="D0284E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42D42B0"/>
    <w:multiLevelType w:val="hybridMultilevel"/>
    <w:tmpl w:val="356CC9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49169891">
    <w:abstractNumId w:val="5"/>
  </w:num>
  <w:num w:numId="2" w16cid:durableId="1096487620">
    <w:abstractNumId w:val="15"/>
  </w:num>
  <w:num w:numId="3" w16cid:durableId="1378550855">
    <w:abstractNumId w:val="19"/>
  </w:num>
  <w:num w:numId="4" w16cid:durableId="414013465">
    <w:abstractNumId w:val="9"/>
  </w:num>
  <w:num w:numId="5" w16cid:durableId="1134450590">
    <w:abstractNumId w:val="14"/>
  </w:num>
  <w:num w:numId="6" w16cid:durableId="229585580">
    <w:abstractNumId w:val="0"/>
  </w:num>
  <w:num w:numId="7" w16cid:durableId="1240821928">
    <w:abstractNumId w:val="18"/>
  </w:num>
  <w:num w:numId="8" w16cid:durableId="1591350099">
    <w:abstractNumId w:val="7"/>
  </w:num>
  <w:num w:numId="9" w16cid:durableId="1449197982">
    <w:abstractNumId w:val="3"/>
  </w:num>
  <w:num w:numId="10" w16cid:durableId="2115399673">
    <w:abstractNumId w:val="6"/>
  </w:num>
  <w:num w:numId="11" w16cid:durableId="405231746">
    <w:abstractNumId w:val="10"/>
  </w:num>
  <w:num w:numId="12" w16cid:durableId="271593227">
    <w:abstractNumId w:val="4"/>
  </w:num>
  <w:num w:numId="13" w16cid:durableId="845174668">
    <w:abstractNumId w:val="1"/>
  </w:num>
  <w:num w:numId="14" w16cid:durableId="1170828049">
    <w:abstractNumId w:val="13"/>
  </w:num>
  <w:num w:numId="15" w16cid:durableId="1798598979">
    <w:abstractNumId w:val="8"/>
  </w:num>
  <w:num w:numId="16" w16cid:durableId="1163928873">
    <w:abstractNumId w:val="11"/>
  </w:num>
  <w:num w:numId="17" w16cid:durableId="699206697">
    <w:abstractNumId w:val="12"/>
  </w:num>
  <w:num w:numId="18" w16cid:durableId="1524132453">
    <w:abstractNumId w:val="2"/>
  </w:num>
  <w:num w:numId="19" w16cid:durableId="1817608116">
    <w:abstractNumId w:val="17"/>
  </w:num>
  <w:num w:numId="20" w16cid:durableId="13671783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08E"/>
    <w:rsid w:val="00003A3D"/>
    <w:rsid w:val="000060C2"/>
    <w:rsid w:val="0001629A"/>
    <w:rsid w:val="00035B94"/>
    <w:rsid w:val="00052B10"/>
    <w:rsid w:val="000575B6"/>
    <w:rsid w:val="00075CB3"/>
    <w:rsid w:val="00095369"/>
    <w:rsid w:val="000A1E6C"/>
    <w:rsid w:val="000C3170"/>
    <w:rsid w:val="000E3B0E"/>
    <w:rsid w:val="00100688"/>
    <w:rsid w:val="00111D0C"/>
    <w:rsid w:val="00122D5C"/>
    <w:rsid w:val="0013199E"/>
    <w:rsid w:val="001328EC"/>
    <w:rsid w:val="001329D6"/>
    <w:rsid w:val="001338B0"/>
    <w:rsid w:val="00156AF6"/>
    <w:rsid w:val="00164FAE"/>
    <w:rsid w:val="00170AD4"/>
    <w:rsid w:val="00172628"/>
    <w:rsid w:val="0017558A"/>
    <w:rsid w:val="00181D8D"/>
    <w:rsid w:val="0019154C"/>
    <w:rsid w:val="001B5F2B"/>
    <w:rsid w:val="001C2E52"/>
    <w:rsid w:val="001C2ED6"/>
    <w:rsid w:val="001D17D0"/>
    <w:rsid w:val="001F6A33"/>
    <w:rsid w:val="001F7A16"/>
    <w:rsid w:val="00202FE3"/>
    <w:rsid w:val="002117E5"/>
    <w:rsid w:val="00214DB6"/>
    <w:rsid w:val="00237EEA"/>
    <w:rsid w:val="00240FC6"/>
    <w:rsid w:val="002674D7"/>
    <w:rsid w:val="00267A37"/>
    <w:rsid w:val="00276151"/>
    <w:rsid w:val="00285BE6"/>
    <w:rsid w:val="00293470"/>
    <w:rsid w:val="0029524A"/>
    <w:rsid w:val="002B338C"/>
    <w:rsid w:val="002B5EE9"/>
    <w:rsid w:val="002C5851"/>
    <w:rsid w:val="002D59A6"/>
    <w:rsid w:val="002D74AB"/>
    <w:rsid w:val="00334131"/>
    <w:rsid w:val="00337D2E"/>
    <w:rsid w:val="00344E25"/>
    <w:rsid w:val="00354818"/>
    <w:rsid w:val="0036064E"/>
    <w:rsid w:val="00360C52"/>
    <w:rsid w:val="003661EA"/>
    <w:rsid w:val="00376506"/>
    <w:rsid w:val="003B1D78"/>
    <w:rsid w:val="003B2808"/>
    <w:rsid w:val="003B5D27"/>
    <w:rsid w:val="003C0BD0"/>
    <w:rsid w:val="003C1B35"/>
    <w:rsid w:val="003F18E6"/>
    <w:rsid w:val="00400479"/>
    <w:rsid w:val="00407CCB"/>
    <w:rsid w:val="00411958"/>
    <w:rsid w:val="00413A79"/>
    <w:rsid w:val="00426266"/>
    <w:rsid w:val="00431446"/>
    <w:rsid w:val="004403EA"/>
    <w:rsid w:val="004467C6"/>
    <w:rsid w:val="00457DEC"/>
    <w:rsid w:val="00465B7F"/>
    <w:rsid w:val="004743EE"/>
    <w:rsid w:val="0049167F"/>
    <w:rsid w:val="004A68B4"/>
    <w:rsid w:val="004B2C2D"/>
    <w:rsid w:val="004C435F"/>
    <w:rsid w:val="004C53E3"/>
    <w:rsid w:val="004F1B73"/>
    <w:rsid w:val="00512829"/>
    <w:rsid w:val="005217C5"/>
    <w:rsid w:val="005466AA"/>
    <w:rsid w:val="00565F1D"/>
    <w:rsid w:val="00566742"/>
    <w:rsid w:val="00590D09"/>
    <w:rsid w:val="00595B66"/>
    <w:rsid w:val="005B060C"/>
    <w:rsid w:val="005B4AD8"/>
    <w:rsid w:val="005C06F7"/>
    <w:rsid w:val="005D0231"/>
    <w:rsid w:val="005D168B"/>
    <w:rsid w:val="005D2097"/>
    <w:rsid w:val="005D26AF"/>
    <w:rsid w:val="00606826"/>
    <w:rsid w:val="00615BD7"/>
    <w:rsid w:val="00622714"/>
    <w:rsid w:val="006255B2"/>
    <w:rsid w:val="00633834"/>
    <w:rsid w:val="00646C80"/>
    <w:rsid w:val="00671857"/>
    <w:rsid w:val="0069259C"/>
    <w:rsid w:val="00692780"/>
    <w:rsid w:val="006A4D92"/>
    <w:rsid w:val="006B444B"/>
    <w:rsid w:val="006B65BE"/>
    <w:rsid w:val="006C11AB"/>
    <w:rsid w:val="006D044F"/>
    <w:rsid w:val="00714A40"/>
    <w:rsid w:val="0072475E"/>
    <w:rsid w:val="0074147F"/>
    <w:rsid w:val="00746347"/>
    <w:rsid w:val="00747AB1"/>
    <w:rsid w:val="00761D8C"/>
    <w:rsid w:val="00772F9F"/>
    <w:rsid w:val="00776747"/>
    <w:rsid w:val="0079203B"/>
    <w:rsid w:val="00793794"/>
    <w:rsid w:val="0079476E"/>
    <w:rsid w:val="007B0A27"/>
    <w:rsid w:val="007B31A8"/>
    <w:rsid w:val="007C14AA"/>
    <w:rsid w:val="007D3986"/>
    <w:rsid w:val="00802210"/>
    <w:rsid w:val="00803A18"/>
    <w:rsid w:val="00806485"/>
    <w:rsid w:val="00806A06"/>
    <w:rsid w:val="008079F6"/>
    <w:rsid w:val="00841FD7"/>
    <w:rsid w:val="008435C8"/>
    <w:rsid w:val="00856F04"/>
    <w:rsid w:val="008812BB"/>
    <w:rsid w:val="00881D91"/>
    <w:rsid w:val="00891E3B"/>
    <w:rsid w:val="008920C5"/>
    <w:rsid w:val="008947FB"/>
    <w:rsid w:val="0089761B"/>
    <w:rsid w:val="008A0C55"/>
    <w:rsid w:val="008A5971"/>
    <w:rsid w:val="008C4799"/>
    <w:rsid w:val="008C51F9"/>
    <w:rsid w:val="008D2B70"/>
    <w:rsid w:val="008D2FAC"/>
    <w:rsid w:val="008D32F1"/>
    <w:rsid w:val="008F054F"/>
    <w:rsid w:val="008F3E37"/>
    <w:rsid w:val="0091013C"/>
    <w:rsid w:val="00931A63"/>
    <w:rsid w:val="009325EC"/>
    <w:rsid w:val="00946E24"/>
    <w:rsid w:val="00976B1D"/>
    <w:rsid w:val="00983ADB"/>
    <w:rsid w:val="00983E2B"/>
    <w:rsid w:val="00985CF4"/>
    <w:rsid w:val="0098734C"/>
    <w:rsid w:val="00987350"/>
    <w:rsid w:val="00987564"/>
    <w:rsid w:val="009A1300"/>
    <w:rsid w:val="009A7C82"/>
    <w:rsid w:val="009B1F48"/>
    <w:rsid w:val="009B3D9C"/>
    <w:rsid w:val="009B6CEC"/>
    <w:rsid w:val="009B77FB"/>
    <w:rsid w:val="009C0DF3"/>
    <w:rsid w:val="009C237F"/>
    <w:rsid w:val="009C3FEE"/>
    <w:rsid w:val="009C50FE"/>
    <w:rsid w:val="009D4B3A"/>
    <w:rsid w:val="009E1A7A"/>
    <w:rsid w:val="009F78DD"/>
    <w:rsid w:val="00A00DD8"/>
    <w:rsid w:val="00A0634D"/>
    <w:rsid w:val="00A15DC5"/>
    <w:rsid w:val="00A275DE"/>
    <w:rsid w:val="00A37BDF"/>
    <w:rsid w:val="00A55A8F"/>
    <w:rsid w:val="00A61E33"/>
    <w:rsid w:val="00A70725"/>
    <w:rsid w:val="00A83EE6"/>
    <w:rsid w:val="00A92D88"/>
    <w:rsid w:val="00AA545E"/>
    <w:rsid w:val="00AA6AA4"/>
    <w:rsid w:val="00AE3276"/>
    <w:rsid w:val="00AF3E8E"/>
    <w:rsid w:val="00B033F3"/>
    <w:rsid w:val="00B12645"/>
    <w:rsid w:val="00B1594C"/>
    <w:rsid w:val="00B22649"/>
    <w:rsid w:val="00B40DEA"/>
    <w:rsid w:val="00B535E2"/>
    <w:rsid w:val="00B67BD7"/>
    <w:rsid w:val="00B82B78"/>
    <w:rsid w:val="00B85191"/>
    <w:rsid w:val="00B93BAD"/>
    <w:rsid w:val="00B96C58"/>
    <w:rsid w:val="00BB2B3B"/>
    <w:rsid w:val="00BC4FCA"/>
    <w:rsid w:val="00BD515F"/>
    <w:rsid w:val="00BE52CC"/>
    <w:rsid w:val="00C07174"/>
    <w:rsid w:val="00C173F4"/>
    <w:rsid w:val="00C367AF"/>
    <w:rsid w:val="00C37B40"/>
    <w:rsid w:val="00C47C5A"/>
    <w:rsid w:val="00C51B4F"/>
    <w:rsid w:val="00C57E61"/>
    <w:rsid w:val="00C712C5"/>
    <w:rsid w:val="00C768A0"/>
    <w:rsid w:val="00C80DED"/>
    <w:rsid w:val="00C824F0"/>
    <w:rsid w:val="00C90031"/>
    <w:rsid w:val="00C91022"/>
    <w:rsid w:val="00CA5B73"/>
    <w:rsid w:val="00CC733B"/>
    <w:rsid w:val="00CE1A2E"/>
    <w:rsid w:val="00CF2013"/>
    <w:rsid w:val="00D056F9"/>
    <w:rsid w:val="00D14720"/>
    <w:rsid w:val="00D2271C"/>
    <w:rsid w:val="00D31849"/>
    <w:rsid w:val="00D3208E"/>
    <w:rsid w:val="00D523B2"/>
    <w:rsid w:val="00D72371"/>
    <w:rsid w:val="00D80608"/>
    <w:rsid w:val="00D83F52"/>
    <w:rsid w:val="00D940FA"/>
    <w:rsid w:val="00D9743F"/>
    <w:rsid w:val="00DA3113"/>
    <w:rsid w:val="00DA7748"/>
    <w:rsid w:val="00DC1170"/>
    <w:rsid w:val="00DD0A0A"/>
    <w:rsid w:val="00DE2821"/>
    <w:rsid w:val="00DE7E2B"/>
    <w:rsid w:val="00E03DEE"/>
    <w:rsid w:val="00E07860"/>
    <w:rsid w:val="00E14ABC"/>
    <w:rsid w:val="00E20A90"/>
    <w:rsid w:val="00E25BF0"/>
    <w:rsid w:val="00E33E29"/>
    <w:rsid w:val="00E40E8A"/>
    <w:rsid w:val="00E46145"/>
    <w:rsid w:val="00E715DB"/>
    <w:rsid w:val="00E76009"/>
    <w:rsid w:val="00EA2D7A"/>
    <w:rsid w:val="00EB0E1F"/>
    <w:rsid w:val="00EC32CA"/>
    <w:rsid w:val="00EC43B5"/>
    <w:rsid w:val="00EE5B5C"/>
    <w:rsid w:val="00EF7CEB"/>
    <w:rsid w:val="00F002A9"/>
    <w:rsid w:val="00F044FA"/>
    <w:rsid w:val="00F155F9"/>
    <w:rsid w:val="00F35567"/>
    <w:rsid w:val="00F3639C"/>
    <w:rsid w:val="00F41EB9"/>
    <w:rsid w:val="00F4281F"/>
    <w:rsid w:val="00F46FC1"/>
    <w:rsid w:val="00F508E8"/>
    <w:rsid w:val="00F515D0"/>
    <w:rsid w:val="00F5205F"/>
    <w:rsid w:val="00F73956"/>
    <w:rsid w:val="00F836D3"/>
    <w:rsid w:val="00F9063B"/>
    <w:rsid w:val="00FC27C4"/>
    <w:rsid w:val="00FC4A7F"/>
    <w:rsid w:val="00FC724C"/>
    <w:rsid w:val="00FE3034"/>
    <w:rsid w:val="00FF5984"/>
    <w:rsid w:val="00FF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5930E"/>
  <w15:chartTrackingRefBased/>
  <w15:docId w15:val="{93873D56-58BD-4F84-98C8-0C7B361E4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08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3208E"/>
    <w:pPr>
      <w:tabs>
        <w:tab w:val="center" w:pos="4252"/>
        <w:tab w:val="right" w:pos="8504"/>
      </w:tabs>
    </w:pPr>
  </w:style>
  <w:style w:type="character" w:customStyle="1" w:styleId="EncabezadoCar">
    <w:name w:val="Encabezado Car"/>
    <w:basedOn w:val="Fuentedeprrafopredeter"/>
    <w:link w:val="Encabezado"/>
    <w:rsid w:val="00D3208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D3208E"/>
    <w:pPr>
      <w:tabs>
        <w:tab w:val="center" w:pos="4252"/>
        <w:tab w:val="right" w:pos="8504"/>
      </w:tabs>
    </w:pPr>
  </w:style>
  <w:style w:type="character" w:customStyle="1" w:styleId="PiedepginaCar">
    <w:name w:val="Pie de página Car"/>
    <w:basedOn w:val="Fuentedeprrafopredeter"/>
    <w:link w:val="Piedepgina"/>
    <w:uiPriority w:val="99"/>
    <w:rsid w:val="00D3208E"/>
    <w:rPr>
      <w:rFonts w:ascii="Times New Roman" w:eastAsia="Times New Roman" w:hAnsi="Times New Roman" w:cs="Times New Roman"/>
      <w:sz w:val="24"/>
      <w:szCs w:val="24"/>
      <w:lang w:val="es-ES" w:eastAsia="es-ES"/>
    </w:rPr>
  </w:style>
  <w:style w:type="paragraph" w:styleId="Prrafodelista">
    <w:name w:val="List Paragraph"/>
    <w:aliases w:val="LISTA,Lista HD,List Paragraph,Lista multicolor - Énfasis 11,VIÑETA,VIÑETAS,titulo 3,Bullet,Numbered Paragraph,Bolita,Numerado informes"/>
    <w:basedOn w:val="Normal"/>
    <w:link w:val="PrrafodelistaCar"/>
    <w:uiPriority w:val="34"/>
    <w:qFormat/>
    <w:rsid w:val="00D3208E"/>
    <w:pPr>
      <w:ind w:left="708"/>
    </w:pPr>
  </w:style>
  <w:style w:type="character" w:styleId="Textoennegrita">
    <w:name w:val="Strong"/>
    <w:uiPriority w:val="22"/>
    <w:qFormat/>
    <w:rsid w:val="00D3208E"/>
    <w:rPr>
      <w:b/>
      <w:bCs/>
    </w:rPr>
  </w:style>
  <w:style w:type="paragraph" w:customStyle="1" w:styleId="a">
    <w:basedOn w:val="Normal"/>
    <w:next w:val="Ttulo"/>
    <w:link w:val="TtuloCar"/>
    <w:uiPriority w:val="99"/>
    <w:qFormat/>
    <w:rsid w:val="00D3208E"/>
    <w:pPr>
      <w:spacing w:before="120" w:after="120"/>
      <w:jc w:val="center"/>
    </w:pPr>
    <w:rPr>
      <w:rFonts w:ascii="Comic Sans MS" w:eastAsiaTheme="minorHAnsi" w:hAnsi="Comic Sans MS" w:cs="Comic Sans MS"/>
      <w:b/>
      <w:bCs/>
      <w:sz w:val="22"/>
      <w:szCs w:val="22"/>
      <w:lang w:val="es-ES_tradnl" w:bidi="gu-IN"/>
    </w:rPr>
  </w:style>
  <w:style w:type="character" w:customStyle="1" w:styleId="TtuloCar">
    <w:name w:val="Título Car"/>
    <w:link w:val="a"/>
    <w:uiPriority w:val="99"/>
    <w:locked/>
    <w:rsid w:val="00D3208E"/>
    <w:rPr>
      <w:rFonts w:ascii="Comic Sans MS" w:hAnsi="Comic Sans MS" w:cs="Comic Sans MS"/>
      <w:b/>
      <w:bCs/>
      <w:lang w:val="es-ES_tradnl" w:eastAsia="es-ES" w:bidi="gu-IN"/>
    </w:rPr>
  </w:style>
  <w:style w:type="paragraph" w:styleId="Ttulo">
    <w:name w:val="Title"/>
    <w:basedOn w:val="Normal"/>
    <w:next w:val="Normal"/>
    <w:link w:val="TtuloCar1"/>
    <w:uiPriority w:val="99"/>
    <w:qFormat/>
    <w:rsid w:val="00D3208E"/>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D3208E"/>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uiPriority w:val="1"/>
    <w:qFormat/>
    <w:rsid w:val="00E33E29"/>
    <w:pPr>
      <w:widowControl w:val="0"/>
      <w:autoSpaceDE w:val="0"/>
      <w:autoSpaceDN w:val="0"/>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E33E29"/>
    <w:rPr>
      <w:rFonts w:ascii="Arial MT" w:eastAsia="Arial MT" w:hAnsi="Arial MT" w:cs="Arial MT"/>
      <w:sz w:val="24"/>
      <w:szCs w:val="24"/>
      <w:lang w:val="es-ES"/>
    </w:rPr>
  </w:style>
  <w:style w:type="paragraph" w:styleId="Textodeglobo">
    <w:name w:val="Balloon Text"/>
    <w:basedOn w:val="Normal"/>
    <w:link w:val="TextodegloboCar"/>
    <w:uiPriority w:val="99"/>
    <w:semiHidden/>
    <w:unhideWhenUsed/>
    <w:rsid w:val="000060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60C2"/>
    <w:rPr>
      <w:rFonts w:ascii="Segoe UI" w:eastAsia="Times New Roman" w:hAnsi="Segoe UI" w:cs="Segoe UI"/>
      <w:sz w:val="18"/>
      <w:szCs w:val="18"/>
      <w:lang w:val="es-ES" w:eastAsia="es-ES"/>
    </w:rPr>
  </w:style>
  <w:style w:type="character" w:customStyle="1" w:styleId="PuestoCar1">
    <w:name w:val="Puesto Car1"/>
    <w:uiPriority w:val="99"/>
    <w:locked/>
    <w:rsid w:val="000060C2"/>
    <w:rPr>
      <w:rFonts w:ascii="Comic Sans MS" w:eastAsia="Times New Roman" w:hAnsi="Comic Sans MS" w:cs="Comic Sans MS"/>
      <w:b/>
      <w:bCs/>
      <w:sz w:val="20"/>
      <w:szCs w:val="20"/>
      <w:lang w:val="es-ES_tradnl" w:eastAsia="es-ES" w:bidi="gu-IN"/>
    </w:rPr>
  </w:style>
  <w:style w:type="character" w:customStyle="1" w:styleId="PrrafodelistaCar">
    <w:name w:val="Párrafo de lista Car"/>
    <w:aliases w:val="LISTA Car,Lista HD Car,List Paragraph Car,Lista multicolor - Énfasis 11 Car,VIÑETA Car,VIÑETAS Car,titulo 3 Car,Bullet Car,Numbered Paragraph Car,Bolita Car,Numerado informes Car"/>
    <w:link w:val="Prrafodelista"/>
    <w:uiPriority w:val="34"/>
    <w:qFormat/>
    <w:locked/>
    <w:rsid w:val="00E25BF0"/>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E25BF0"/>
    <w:rPr>
      <w:i/>
      <w:iCs/>
    </w:rPr>
  </w:style>
  <w:style w:type="paragraph" w:customStyle="1" w:styleId="ql-align-justify">
    <w:name w:val="ql-align-justify"/>
    <w:basedOn w:val="Normal"/>
    <w:rsid w:val="009E1A7A"/>
    <w:pPr>
      <w:spacing w:before="100" w:beforeAutospacing="1" w:after="100" w:afterAutospacing="1"/>
    </w:pPr>
  </w:style>
  <w:style w:type="paragraph" w:customStyle="1" w:styleId="Default">
    <w:name w:val="Default"/>
    <w:rsid w:val="009E1A7A"/>
    <w:pPr>
      <w:autoSpaceDE w:val="0"/>
      <w:autoSpaceDN w:val="0"/>
      <w:adjustRightInd w:val="0"/>
      <w:spacing w:after="0" w:line="240" w:lineRule="auto"/>
    </w:pPr>
    <w:rPr>
      <w:rFonts w:ascii="Futura Lt BT" w:hAnsi="Futura Lt BT" w:cs="Futura Lt BT"/>
      <w:color w:val="000000"/>
      <w:sz w:val="24"/>
      <w:szCs w:val="24"/>
      <w:lang w:val="es-CO"/>
    </w:rPr>
  </w:style>
  <w:style w:type="paragraph" w:customStyle="1" w:styleId="Pa4">
    <w:name w:val="Pa4"/>
    <w:basedOn w:val="Default"/>
    <w:next w:val="Default"/>
    <w:uiPriority w:val="99"/>
    <w:rsid w:val="009E1A7A"/>
    <w:pPr>
      <w:spacing w:line="281" w:lineRule="atLeast"/>
    </w:pPr>
    <w:rPr>
      <w:rFonts w:cstheme="minorBidi"/>
      <w:color w:val="auto"/>
    </w:rPr>
  </w:style>
  <w:style w:type="character" w:styleId="Hipervnculo">
    <w:name w:val="Hyperlink"/>
    <w:basedOn w:val="Fuentedeprrafopredeter"/>
    <w:uiPriority w:val="99"/>
    <w:unhideWhenUsed/>
    <w:rsid w:val="00793794"/>
    <w:rPr>
      <w:color w:val="0563C1" w:themeColor="hyperlink"/>
      <w:u w:val="single"/>
    </w:rPr>
  </w:style>
  <w:style w:type="character" w:customStyle="1" w:styleId="Mencinsinresolver1">
    <w:name w:val="Mención sin resolver1"/>
    <w:basedOn w:val="Fuentedeprrafopredeter"/>
    <w:uiPriority w:val="99"/>
    <w:semiHidden/>
    <w:unhideWhenUsed/>
    <w:rsid w:val="00793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812973">
      <w:bodyDiv w:val="1"/>
      <w:marLeft w:val="0"/>
      <w:marRight w:val="0"/>
      <w:marTop w:val="0"/>
      <w:marBottom w:val="0"/>
      <w:divBdr>
        <w:top w:val="none" w:sz="0" w:space="0" w:color="auto"/>
        <w:left w:val="none" w:sz="0" w:space="0" w:color="auto"/>
        <w:bottom w:val="none" w:sz="0" w:space="0" w:color="auto"/>
        <w:right w:val="none" w:sz="0" w:space="0" w:color="auto"/>
      </w:divBdr>
    </w:div>
    <w:div w:id="1155610734">
      <w:bodyDiv w:val="1"/>
      <w:marLeft w:val="0"/>
      <w:marRight w:val="0"/>
      <w:marTop w:val="0"/>
      <w:marBottom w:val="0"/>
      <w:divBdr>
        <w:top w:val="none" w:sz="0" w:space="0" w:color="auto"/>
        <w:left w:val="none" w:sz="0" w:space="0" w:color="auto"/>
        <w:bottom w:val="none" w:sz="0" w:space="0" w:color="auto"/>
        <w:right w:val="none" w:sz="0" w:space="0" w:color="auto"/>
      </w:divBdr>
    </w:div>
    <w:div w:id="1546209596">
      <w:bodyDiv w:val="1"/>
      <w:marLeft w:val="0"/>
      <w:marRight w:val="0"/>
      <w:marTop w:val="0"/>
      <w:marBottom w:val="0"/>
      <w:divBdr>
        <w:top w:val="none" w:sz="0" w:space="0" w:color="auto"/>
        <w:left w:val="none" w:sz="0" w:space="0" w:color="auto"/>
        <w:bottom w:val="none" w:sz="0" w:space="0" w:color="auto"/>
        <w:right w:val="none" w:sz="0" w:space="0" w:color="auto"/>
      </w:divBdr>
    </w:div>
    <w:div w:id="1724938676">
      <w:bodyDiv w:val="1"/>
      <w:marLeft w:val="0"/>
      <w:marRight w:val="0"/>
      <w:marTop w:val="0"/>
      <w:marBottom w:val="0"/>
      <w:divBdr>
        <w:top w:val="none" w:sz="0" w:space="0" w:color="auto"/>
        <w:left w:val="none" w:sz="0" w:space="0" w:color="auto"/>
        <w:bottom w:val="none" w:sz="0" w:space="0" w:color="auto"/>
        <w:right w:val="none" w:sz="0" w:space="0" w:color="auto"/>
      </w:divBdr>
    </w:div>
    <w:div w:id="195332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ne.gov.co/index.php/estadisticas-por-tema/mercado-laboral/empleo-y-desemple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ane.gov.co/index.php/estadisticas-por-tema/mercado-laboral/empleo-y-desempleo" TargetMode="External"/><Relationship Id="rId4" Type="http://schemas.openxmlformats.org/officeDocument/2006/relationships/settings" Target="settings.xml"/><Relationship Id="rId9" Type="http://schemas.openxmlformats.org/officeDocument/2006/relationships/image" Target="https://alcaldiademanizales.isolucion.co/Medios4AlcManizales/imagen%20definitiva0.pn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CCE64-00AE-40D2-8988-C51862678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2304</Words>
  <Characters>12677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jose luis orrego</cp:lastModifiedBy>
  <cp:revision>12</cp:revision>
  <cp:lastPrinted>2023-10-03T19:52:00Z</cp:lastPrinted>
  <dcterms:created xsi:type="dcterms:W3CDTF">2023-10-03T19:52:00Z</dcterms:created>
  <dcterms:modified xsi:type="dcterms:W3CDTF">2023-10-05T04:09:00Z</dcterms:modified>
</cp:coreProperties>
</file>